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80"/>
        </w:tabs>
        <w:spacing w:line="480" w:lineRule="exact"/>
        <w:jc w:val="center"/>
        <w:rPr>
          <w:rFonts w:ascii="仿宋" w:hAnsi="仿宋" w:eastAsia="仿宋"/>
          <w:b/>
          <w:sz w:val="36"/>
          <w:szCs w:val="36"/>
        </w:rPr>
      </w:pPr>
      <w:bookmarkStart w:id="36" w:name="_GoBack"/>
      <w:bookmarkEnd w:id="36"/>
    </w:p>
    <w:p>
      <w:pPr>
        <w:tabs>
          <w:tab w:val="left" w:pos="4680"/>
        </w:tabs>
        <w:spacing w:line="480" w:lineRule="exact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tabs>
          <w:tab w:val="left" w:pos="4680"/>
        </w:tabs>
        <w:spacing w:line="480" w:lineRule="exact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tabs>
          <w:tab w:val="left" w:pos="4680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2022年山东省“技能兴鲁”职业技能大赛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新能源商用车检测与维修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竞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规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程</w:t>
      </w:r>
    </w:p>
    <w:p>
      <w:pPr>
        <w:tabs>
          <w:tab w:val="left" w:pos="4680"/>
        </w:tabs>
        <w:spacing w:line="560" w:lineRule="exact"/>
        <w:jc w:val="center"/>
        <w:rPr>
          <w:rFonts w:ascii="方正楷体简体" w:hAnsi="方正楷体简体" w:eastAsia="方正楷体简体"/>
          <w:b/>
          <w:sz w:val="52"/>
          <w:szCs w:val="44"/>
        </w:rPr>
      </w:pPr>
    </w:p>
    <w:p>
      <w:pPr>
        <w:tabs>
          <w:tab w:val="left" w:pos="4680"/>
        </w:tabs>
        <w:spacing w:line="560" w:lineRule="exact"/>
        <w:rPr>
          <w:rFonts w:ascii="方正楷体简体" w:hAnsi="方正楷体简体" w:eastAsia="方正楷体简体"/>
          <w:b/>
          <w:sz w:val="52"/>
          <w:szCs w:val="44"/>
        </w:rPr>
      </w:pPr>
    </w:p>
    <w:p>
      <w:pPr>
        <w:tabs>
          <w:tab w:val="left" w:pos="4680"/>
        </w:tabs>
        <w:spacing w:line="560" w:lineRule="exact"/>
        <w:rPr>
          <w:rFonts w:ascii="方正楷体简体" w:hAnsi="方正楷体简体" w:eastAsia="方正楷体简体"/>
          <w:b/>
          <w:sz w:val="52"/>
          <w:szCs w:val="44"/>
        </w:rPr>
      </w:pPr>
    </w:p>
    <w:p>
      <w:pPr>
        <w:tabs>
          <w:tab w:val="left" w:pos="4680"/>
        </w:tabs>
        <w:spacing w:line="480" w:lineRule="exact"/>
        <w:rPr>
          <w:rFonts w:ascii="仿宋" w:hAnsi="仿宋" w:eastAsia="仿宋"/>
          <w:b/>
          <w:sz w:val="32"/>
          <w:szCs w:val="32"/>
        </w:rPr>
      </w:pPr>
    </w:p>
    <w:p>
      <w:pPr>
        <w:tabs>
          <w:tab w:val="left" w:pos="4680"/>
        </w:tabs>
        <w:spacing w:line="480" w:lineRule="exact"/>
        <w:rPr>
          <w:rFonts w:ascii="仿宋" w:hAnsi="仿宋" w:eastAsia="仿宋"/>
          <w:b/>
          <w:sz w:val="32"/>
          <w:szCs w:val="32"/>
        </w:rPr>
      </w:pPr>
    </w:p>
    <w:p>
      <w:pPr>
        <w:tabs>
          <w:tab w:val="left" w:pos="4680"/>
        </w:tabs>
        <w:spacing w:line="480" w:lineRule="exact"/>
        <w:rPr>
          <w:rFonts w:ascii="仿宋" w:hAnsi="仿宋" w:eastAsia="仿宋"/>
          <w:b/>
          <w:sz w:val="28"/>
          <w:szCs w:val="28"/>
        </w:rPr>
      </w:pPr>
    </w:p>
    <w:p>
      <w:pPr>
        <w:pStyle w:val="16"/>
        <w:tabs>
          <w:tab w:val="right" w:leader="dot" w:pos="9060"/>
        </w:tabs>
        <w:spacing w:before="120" w:after="120" w:line="360" w:lineRule="auto"/>
        <w:ind w:firstLine="640" w:firstLineChars="200"/>
        <w:jc w:val="center"/>
        <w:rPr>
          <w:rFonts w:ascii="仿宋_GB2312" w:eastAsia="仿宋_GB2312"/>
          <w:iCs/>
          <w:sz w:val="32"/>
          <w:szCs w:val="32"/>
        </w:rPr>
      </w:pPr>
      <w:r>
        <w:rPr>
          <w:rFonts w:hint="eastAsia" w:ascii="仿宋_GB2312" w:eastAsia="仿宋_GB2312"/>
          <w:iCs/>
          <w:sz w:val="32"/>
          <w:szCs w:val="32"/>
        </w:rPr>
        <w:t>新能源商用车检测与维修职业技能竞赛组委会办公室</w:t>
      </w:r>
    </w:p>
    <w:p>
      <w:pPr>
        <w:pStyle w:val="16"/>
        <w:tabs>
          <w:tab w:val="right" w:leader="dot" w:pos="9060"/>
        </w:tabs>
        <w:spacing w:before="120" w:after="120" w:line="360" w:lineRule="auto"/>
        <w:ind w:firstLine="640" w:firstLineChars="200"/>
        <w:jc w:val="center"/>
        <w:rPr>
          <w:rFonts w:ascii="仿宋_GB2312" w:eastAsia="仿宋_GB2312"/>
          <w:iCs/>
          <w:sz w:val="32"/>
          <w:szCs w:val="32"/>
        </w:rPr>
      </w:pPr>
      <w:r>
        <w:rPr>
          <w:rFonts w:hint="eastAsia" w:ascii="仿宋_GB2312" w:eastAsia="仿宋_GB2312"/>
          <w:iCs/>
          <w:sz w:val="32"/>
          <w:szCs w:val="32"/>
        </w:rPr>
        <w:t>202</w:t>
      </w:r>
      <w:r>
        <w:rPr>
          <w:rFonts w:ascii="仿宋_GB2312" w:eastAsia="仿宋_GB2312"/>
          <w:iCs/>
          <w:sz w:val="32"/>
          <w:szCs w:val="32"/>
        </w:rPr>
        <w:t>2</w:t>
      </w:r>
      <w:r>
        <w:rPr>
          <w:rFonts w:hint="eastAsia" w:ascii="仿宋_GB2312" w:eastAsia="仿宋_GB2312"/>
          <w:iCs/>
          <w:sz w:val="32"/>
          <w:szCs w:val="32"/>
        </w:rPr>
        <w:t>年</w:t>
      </w:r>
      <w:r>
        <w:rPr>
          <w:rFonts w:ascii="仿宋_GB2312" w:eastAsia="仿宋_GB2312"/>
          <w:iCs/>
          <w:sz w:val="32"/>
          <w:szCs w:val="32"/>
        </w:rPr>
        <w:t>8</w:t>
      </w:r>
      <w:r>
        <w:rPr>
          <w:rFonts w:hint="eastAsia" w:ascii="仿宋_GB2312" w:eastAsia="仿宋_GB2312"/>
          <w:iCs/>
          <w:sz w:val="32"/>
          <w:szCs w:val="32"/>
        </w:rPr>
        <w:t>月</w:t>
      </w:r>
    </w:p>
    <w:p>
      <w:pPr>
        <w:widowControl/>
        <w:tabs>
          <w:tab w:val="left" w:pos="3103"/>
        </w:tabs>
        <w:jc w:val="left"/>
        <w:rPr>
          <w:rFonts w:ascii="仿宋" w:hAnsi="仿宋" w:eastAsia="仿宋"/>
          <w:b/>
          <w:sz w:val="36"/>
          <w:szCs w:val="36"/>
        </w:rPr>
      </w:pPr>
    </w:p>
    <w:sdt>
      <w:sdtPr>
        <w:rPr>
          <w:rFonts w:ascii="仿宋_GB2312" w:eastAsia="仿宋_GB2312" w:hAnsiTheme="minorHAnsi" w:cstheme="minorBidi"/>
          <w:b w:val="0"/>
          <w:bCs w:val="0"/>
          <w:iCs/>
          <w:color w:val="auto"/>
          <w:kern w:val="2"/>
          <w:sz w:val="32"/>
          <w:szCs w:val="32"/>
        </w:rPr>
        <w:id w:val="-230387797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 w:val="0"/>
          <w:bCs w:val="0"/>
          <w:iCs w:val="0"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32"/>
            <w:jc w:val="center"/>
            <w:rPr>
              <w:rFonts w:ascii="仿宋_GB2312" w:eastAsia="仿宋_GB2312" w:hAnsiTheme="minorHAnsi" w:cstheme="minorBidi"/>
              <w:b w:val="0"/>
              <w:bCs w:val="0"/>
              <w:iCs/>
              <w:color w:val="auto"/>
              <w:kern w:val="2"/>
              <w:sz w:val="32"/>
              <w:szCs w:val="32"/>
            </w:rPr>
          </w:pPr>
          <w:r>
            <w:rPr>
              <w:rFonts w:ascii="仿宋_GB2312" w:eastAsia="仿宋_GB2312" w:hAnsiTheme="minorHAnsi" w:cstheme="minorBidi"/>
              <w:b w:val="0"/>
              <w:bCs w:val="0"/>
              <w:iCs/>
              <w:color w:val="auto"/>
              <w:kern w:val="2"/>
              <w:sz w:val="32"/>
              <w:szCs w:val="32"/>
            </w:rPr>
            <w:t>目录</w:t>
          </w:r>
        </w:p>
        <w:p>
          <w:pPr>
            <w:pStyle w:val="18"/>
            <w:widowControl w:val="0"/>
            <w:tabs>
              <w:tab w:val="right" w:leader="dot" w:pos="9060"/>
            </w:tabs>
            <w:spacing w:after="0" w:line="360" w:lineRule="auto"/>
            <w:rPr>
              <w:rFonts w:ascii="仿宋_GB2312" w:eastAsia="仿宋_GB2312" w:cstheme="minorBidi"/>
              <w:iCs/>
              <w:kern w:val="2"/>
              <w:sz w:val="32"/>
              <w:szCs w:val="32"/>
            </w:rPr>
          </w:pP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TOC \o "1-3" \h \z \u </w:instrText>
          </w:r>
          <w:r>
            <w:rPr>
              <w:sz w:val="28"/>
              <w:szCs w:val="36"/>
            </w:rPr>
            <w:fldChar w:fldCharType="separate"/>
          </w:r>
          <w:r>
            <w:fldChar w:fldCharType="begin"/>
          </w:r>
          <w:r>
            <w:instrText xml:space="preserve"> HYPERLINK \l "_Toc76562811" </w:instrText>
          </w:r>
          <w:r>
            <w:fldChar w:fldCharType="separate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一、赛项名称</w:t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ab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fldChar w:fldCharType="begin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instrText xml:space="preserve"> PAGEREF _Toc76562811 \h </w:instrText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fldChar w:fldCharType="separate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3</w:t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fldChar w:fldCharType="end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fldChar w:fldCharType="end"/>
          </w:r>
        </w:p>
        <w:p>
          <w:pPr>
            <w:pStyle w:val="18"/>
            <w:widowControl w:val="0"/>
            <w:tabs>
              <w:tab w:val="right" w:leader="dot" w:pos="9060"/>
            </w:tabs>
            <w:spacing w:after="0" w:line="360" w:lineRule="auto"/>
            <w:ind w:left="0" w:firstLine="440" w:firstLineChars="200"/>
            <w:rPr>
              <w:rFonts w:ascii="仿宋_GB2312" w:eastAsia="仿宋_GB2312" w:cstheme="minorBidi"/>
              <w:iCs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"_Toc76562812" </w:instrText>
          </w:r>
          <w:r>
            <w:fldChar w:fldCharType="separate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二、竞赛内容</w:t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ab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fldChar w:fldCharType="begin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instrText xml:space="preserve"> PAGEREF _Toc76562812 \h </w:instrText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fldChar w:fldCharType="separate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3</w:t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fldChar w:fldCharType="end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fldChar w:fldCharType="end"/>
          </w:r>
        </w:p>
        <w:p>
          <w:pPr>
            <w:pStyle w:val="18"/>
            <w:widowControl w:val="0"/>
            <w:tabs>
              <w:tab w:val="right" w:leader="dot" w:pos="9060"/>
            </w:tabs>
            <w:spacing w:after="0" w:line="360" w:lineRule="auto"/>
            <w:ind w:left="0" w:firstLine="440" w:firstLineChars="200"/>
            <w:rPr>
              <w:rFonts w:ascii="仿宋_GB2312" w:eastAsia="仿宋_GB2312" w:cstheme="minorBidi"/>
              <w:iCs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"_Toc76562813" </w:instrText>
          </w:r>
          <w:r>
            <w:fldChar w:fldCharType="separate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三、竞赛方式</w:t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ab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fldChar w:fldCharType="end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5</w:t>
          </w:r>
        </w:p>
        <w:p>
          <w:pPr>
            <w:pStyle w:val="18"/>
            <w:widowControl w:val="0"/>
            <w:tabs>
              <w:tab w:val="right" w:leader="dot" w:pos="9060"/>
            </w:tabs>
            <w:spacing w:after="0" w:line="360" w:lineRule="auto"/>
            <w:ind w:left="0" w:firstLine="440" w:firstLineChars="200"/>
            <w:rPr>
              <w:rFonts w:ascii="仿宋_GB2312" w:eastAsia="仿宋_GB2312" w:cstheme="minorBidi"/>
              <w:iCs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"_Toc76562814" </w:instrText>
          </w:r>
          <w:r>
            <w:fldChar w:fldCharType="separate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四、竞赛流程</w:t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ab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fldChar w:fldCharType="end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6</w:t>
          </w:r>
        </w:p>
        <w:p>
          <w:pPr>
            <w:pStyle w:val="18"/>
            <w:widowControl w:val="0"/>
            <w:tabs>
              <w:tab w:val="right" w:leader="dot" w:pos="9060"/>
            </w:tabs>
            <w:spacing w:after="0" w:line="360" w:lineRule="auto"/>
            <w:ind w:left="0" w:firstLine="440" w:firstLineChars="200"/>
            <w:rPr>
              <w:rFonts w:ascii="仿宋_GB2312" w:eastAsia="仿宋_GB2312" w:cstheme="minorBidi"/>
              <w:iCs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"_Toc76562815" </w:instrText>
          </w:r>
          <w:r>
            <w:fldChar w:fldCharType="separate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五、竞赛命题</w:t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ab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fldChar w:fldCharType="end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8</w:t>
          </w:r>
        </w:p>
        <w:p>
          <w:pPr>
            <w:pStyle w:val="18"/>
            <w:widowControl w:val="0"/>
            <w:tabs>
              <w:tab w:val="right" w:leader="dot" w:pos="9060"/>
            </w:tabs>
            <w:spacing w:after="0" w:line="360" w:lineRule="auto"/>
            <w:ind w:left="0" w:firstLine="440" w:firstLineChars="200"/>
            <w:rPr>
              <w:rFonts w:ascii="仿宋_GB2312" w:eastAsia="仿宋_GB2312" w:cstheme="minorBidi"/>
              <w:iCs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"_Toc76562816" </w:instrText>
          </w:r>
          <w:r>
            <w:fldChar w:fldCharType="separate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六、竞赛规则</w:t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ab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fldChar w:fldCharType="begin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instrText xml:space="preserve"> PAGEREF _Toc76562816 \h </w:instrText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fldChar w:fldCharType="separate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9</w:t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fldChar w:fldCharType="end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fldChar w:fldCharType="end"/>
          </w:r>
        </w:p>
        <w:p>
          <w:pPr>
            <w:pStyle w:val="18"/>
            <w:widowControl w:val="0"/>
            <w:tabs>
              <w:tab w:val="right" w:leader="dot" w:pos="9060"/>
            </w:tabs>
            <w:spacing w:after="0" w:line="360" w:lineRule="auto"/>
            <w:ind w:left="0" w:firstLine="440" w:firstLineChars="200"/>
            <w:rPr>
              <w:rFonts w:ascii="仿宋_GB2312" w:eastAsia="仿宋_GB2312" w:cstheme="minorBidi"/>
              <w:iCs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"_Toc76562817" </w:instrText>
          </w:r>
          <w:r>
            <w:fldChar w:fldCharType="separate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七、竞赛环境</w:t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ab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fldChar w:fldCharType="begin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instrText xml:space="preserve"> PAGEREF _Toc76562817 \h </w:instrText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fldChar w:fldCharType="separate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11</w:t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fldChar w:fldCharType="end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fldChar w:fldCharType="end"/>
          </w:r>
        </w:p>
        <w:p>
          <w:pPr>
            <w:pStyle w:val="18"/>
            <w:widowControl w:val="0"/>
            <w:tabs>
              <w:tab w:val="right" w:leader="dot" w:pos="9060"/>
            </w:tabs>
            <w:spacing w:after="0" w:line="360" w:lineRule="auto"/>
            <w:ind w:left="0" w:firstLine="440" w:firstLineChars="200"/>
            <w:rPr>
              <w:rFonts w:ascii="仿宋_GB2312" w:eastAsia="仿宋_GB2312" w:cstheme="minorBidi"/>
              <w:iCs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"_Toc76562818" </w:instrText>
          </w:r>
          <w:r>
            <w:fldChar w:fldCharType="separate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八、技术平台</w:t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ab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fldChar w:fldCharType="begin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instrText xml:space="preserve"> PAGEREF _Toc76562818 \h </w:instrText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fldChar w:fldCharType="separate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1</w:t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fldChar w:fldCharType="end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fldChar w:fldCharType="end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2</w:t>
          </w:r>
        </w:p>
        <w:p>
          <w:pPr>
            <w:pStyle w:val="18"/>
            <w:widowControl w:val="0"/>
            <w:tabs>
              <w:tab w:val="right" w:leader="dot" w:pos="9060"/>
            </w:tabs>
            <w:spacing w:after="0" w:line="360" w:lineRule="auto"/>
            <w:ind w:left="0" w:firstLine="440" w:firstLineChars="200"/>
            <w:rPr>
              <w:rFonts w:ascii="仿宋_GB2312" w:eastAsia="仿宋_GB2312" w:cstheme="minorBidi"/>
              <w:iCs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"_Toc76562819" </w:instrText>
          </w:r>
          <w:r>
            <w:fldChar w:fldCharType="separate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九、成绩评定</w:t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ab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fldChar w:fldCharType="begin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instrText xml:space="preserve"> PAGEREF _Toc76562819 \h </w:instrText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fldChar w:fldCharType="separate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1</w:t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fldChar w:fldCharType="end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fldChar w:fldCharType="end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5</w:t>
          </w:r>
        </w:p>
        <w:p>
          <w:pPr>
            <w:pStyle w:val="18"/>
            <w:widowControl w:val="0"/>
            <w:tabs>
              <w:tab w:val="right" w:leader="dot" w:pos="9060"/>
            </w:tabs>
            <w:spacing w:after="0" w:line="360" w:lineRule="auto"/>
            <w:ind w:left="0" w:firstLine="440" w:firstLineChars="200"/>
            <w:rPr>
              <w:rFonts w:ascii="仿宋_GB2312" w:eastAsia="仿宋_GB2312" w:cstheme="minorBidi"/>
              <w:iCs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"_Toc76562820" </w:instrText>
          </w:r>
          <w:r>
            <w:fldChar w:fldCharType="separate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十、奖项设定</w:t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ab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fldChar w:fldCharType="end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19</w:t>
          </w:r>
        </w:p>
        <w:p>
          <w:pPr>
            <w:pStyle w:val="18"/>
            <w:widowControl w:val="0"/>
            <w:tabs>
              <w:tab w:val="right" w:leader="dot" w:pos="9060"/>
            </w:tabs>
            <w:spacing w:after="0" w:line="360" w:lineRule="auto"/>
            <w:ind w:left="0" w:firstLine="440" w:firstLineChars="200"/>
            <w:rPr>
              <w:rFonts w:ascii="仿宋_GB2312" w:eastAsia="仿宋_GB2312" w:cstheme="minorBidi"/>
              <w:iCs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"_Toc76562821" </w:instrText>
          </w:r>
          <w:r>
            <w:fldChar w:fldCharType="separate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十一、赛场预案</w:t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ab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fldChar w:fldCharType="begin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instrText xml:space="preserve"> PAGEREF _Toc76562821 \h </w:instrText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fldChar w:fldCharType="separate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2</w:t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fldChar w:fldCharType="end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fldChar w:fldCharType="end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0</w:t>
          </w:r>
        </w:p>
        <w:p>
          <w:pPr>
            <w:pStyle w:val="18"/>
            <w:widowControl w:val="0"/>
            <w:tabs>
              <w:tab w:val="right" w:leader="dot" w:pos="9060"/>
            </w:tabs>
            <w:spacing w:after="0" w:line="360" w:lineRule="auto"/>
            <w:ind w:left="0" w:firstLine="440" w:firstLineChars="200"/>
            <w:rPr>
              <w:rFonts w:ascii="仿宋_GB2312" w:eastAsia="仿宋_GB2312" w:cstheme="minorBidi"/>
              <w:iCs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"_Toc76562822" </w:instrText>
          </w:r>
          <w:r>
            <w:fldChar w:fldCharType="separate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十二、赛项安全</w:t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ab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fldChar w:fldCharType="begin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instrText xml:space="preserve"> PAGEREF _Toc76562822 \h </w:instrText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fldChar w:fldCharType="separate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2</w:t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fldChar w:fldCharType="end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fldChar w:fldCharType="end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1</w:t>
          </w:r>
        </w:p>
        <w:p>
          <w:pPr>
            <w:pStyle w:val="18"/>
            <w:widowControl w:val="0"/>
            <w:tabs>
              <w:tab w:val="right" w:leader="dot" w:pos="9060"/>
            </w:tabs>
            <w:spacing w:after="0" w:line="360" w:lineRule="auto"/>
            <w:ind w:left="0" w:firstLine="440" w:firstLineChars="200"/>
            <w:rPr>
              <w:rFonts w:ascii="仿宋_GB2312" w:eastAsia="仿宋_GB2312" w:cstheme="minorBidi"/>
              <w:iCs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"_Toc76562823" </w:instrText>
          </w:r>
          <w:r>
            <w:fldChar w:fldCharType="separate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十三、赛项须知</w:t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ab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fldChar w:fldCharType="begin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instrText xml:space="preserve"> PAGEREF _Toc76562823 \h </w:instrText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fldChar w:fldCharType="separate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2</w:t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fldChar w:fldCharType="end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fldChar w:fldCharType="end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2</w:t>
          </w:r>
        </w:p>
        <w:p>
          <w:pPr>
            <w:pStyle w:val="18"/>
            <w:widowControl w:val="0"/>
            <w:tabs>
              <w:tab w:val="right" w:leader="dot" w:pos="9060"/>
            </w:tabs>
            <w:spacing w:after="0" w:line="360" w:lineRule="auto"/>
            <w:ind w:left="0" w:firstLine="440" w:firstLineChars="200"/>
            <w:rPr>
              <w:rFonts w:ascii="仿宋_GB2312" w:eastAsia="仿宋_GB2312" w:cstheme="minorBidi"/>
              <w:iCs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"_Toc76562824" </w:instrText>
          </w:r>
          <w:r>
            <w:fldChar w:fldCharType="separate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十四、申诉与仲裁</w:t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ab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fldChar w:fldCharType="begin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instrText xml:space="preserve"> PAGEREF _Toc76562824 \h </w:instrText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fldChar w:fldCharType="separate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2</w:t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fldChar w:fldCharType="end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fldChar w:fldCharType="end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4</w:t>
          </w:r>
        </w:p>
        <w:p>
          <w:pPr>
            <w:pStyle w:val="18"/>
            <w:widowControl w:val="0"/>
            <w:tabs>
              <w:tab w:val="right" w:leader="dot" w:pos="9060"/>
            </w:tabs>
            <w:spacing w:after="0" w:line="360" w:lineRule="auto"/>
            <w:ind w:left="0" w:firstLine="440" w:firstLineChars="200"/>
            <w:rPr>
              <w:rFonts w:ascii="仿宋_GB2312" w:eastAsia="仿宋_GB2312" w:cstheme="minorBidi"/>
              <w:iCs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"_Toc76562825" </w:instrText>
          </w:r>
          <w:r>
            <w:fldChar w:fldCharType="separate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十五、报名</w:t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ab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fldChar w:fldCharType="begin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instrText xml:space="preserve"> PAGEREF _Toc76562825 \h </w:instrText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fldChar w:fldCharType="separate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t>2</w:t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fldChar w:fldCharType="end"/>
          </w:r>
          <w:r>
            <w:rPr>
              <w:rFonts w:ascii="仿宋_GB2312" w:eastAsia="仿宋_GB2312" w:cstheme="minorBidi"/>
              <w:iCs/>
              <w:kern w:val="2"/>
              <w:sz w:val="32"/>
              <w:szCs w:val="32"/>
            </w:rPr>
            <w:fldChar w:fldCharType="end"/>
          </w:r>
          <w:r>
            <w:rPr>
              <w:rFonts w:hint="eastAsia" w:ascii="仿宋_GB2312" w:eastAsia="仿宋_GB2312" w:cstheme="minorBidi"/>
              <w:iCs/>
              <w:kern w:val="2"/>
              <w:sz w:val="32"/>
              <w:szCs w:val="32"/>
            </w:rPr>
            <w:t>5</w:t>
          </w:r>
        </w:p>
        <w:p>
          <w:pPr>
            <w:pStyle w:val="17"/>
            <w:tabs>
              <w:tab w:val="right" w:leader="dot" w:pos="8296"/>
            </w:tabs>
            <w:rPr>
              <w:sz w:val="28"/>
              <w:szCs w:val="32"/>
            </w:rPr>
          </w:pPr>
          <w:r>
            <w:fldChar w:fldCharType="begin"/>
          </w:r>
          <w:r>
            <w:instrText xml:space="preserve"> HYPERLINK \l "_Toc76562826" </w:instrText>
          </w:r>
          <w:r>
            <w:fldChar w:fldCharType="separate"/>
          </w:r>
          <w:r>
            <w:fldChar w:fldCharType="end"/>
          </w:r>
        </w:p>
        <w:p>
          <w:pPr>
            <w:tabs>
              <w:tab w:val="left" w:pos="942"/>
            </w:tabs>
            <w:rPr>
              <w:lang w:val="zh-CN"/>
            </w:rPr>
          </w:pPr>
          <w:r>
            <w:rPr>
              <w:b/>
              <w:bCs/>
              <w:sz w:val="28"/>
              <w:szCs w:val="36"/>
              <w:lang w:val="zh-CN"/>
            </w:rPr>
            <w:fldChar w:fldCharType="end"/>
          </w:r>
        </w:p>
      </w:sdtContent>
    </w:sdt>
    <w:p>
      <w:pPr>
        <w:tabs>
          <w:tab w:val="left" w:pos="942"/>
        </w:tabs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br w:type="page"/>
      </w:r>
    </w:p>
    <w:p>
      <w:pPr>
        <w:tabs>
          <w:tab w:val="left" w:pos="942"/>
        </w:tabs>
        <w:jc w:val="center"/>
        <w:rPr>
          <w:rFonts w:ascii="黑体" w:hAnsi="黑体" w:eastAsia="黑体"/>
          <w:sz w:val="36"/>
          <w:szCs w:val="36"/>
        </w:rPr>
      </w:pPr>
    </w:p>
    <w:p>
      <w:pPr>
        <w:tabs>
          <w:tab w:val="left" w:pos="4680"/>
        </w:tabs>
        <w:spacing w:line="48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2022年山东省“技能兴鲁”职业技能大赛</w:t>
      </w:r>
    </w:p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新能源商用车检测与维修竞赛规程</w:t>
      </w:r>
    </w:p>
    <w:p>
      <w:pPr>
        <w:overflowPunct w:val="0"/>
        <w:autoSpaceDE w:val="0"/>
        <w:jc w:val="left"/>
        <w:rPr>
          <w:rFonts w:ascii="黑体" w:hAnsi="黑体" w:eastAsia="黑体"/>
          <w:sz w:val="28"/>
          <w:szCs w:val="32"/>
        </w:rPr>
      </w:pPr>
      <w:bookmarkStart w:id="0" w:name="_Toc76562811"/>
    </w:p>
    <w:p>
      <w:pPr>
        <w:overflowPunct w:val="0"/>
        <w:autoSpaceDE w:val="0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一、赛项名称</w:t>
      </w:r>
      <w:bookmarkEnd w:id="0"/>
    </w:p>
    <w:p>
      <w:pPr>
        <w:overflowPunct w:val="0"/>
        <w:autoSpaceDE w:val="0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竞赛名称：新能源商用车检测与维修</w:t>
      </w:r>
    </w:p>
    <w:p>
      <w:pPr>
        <w:overflowPunct w:val="0"/>
        <w:autoSpaceDE w:val="0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赛项分组：职工（教师）组和学生组两个组别</w:t>
      </w:r>
    </w:p>
    <w:p>
      <w:pPr>
        <w:overflowPunct w:val="0"/>
        <w:autoSpaceDE w:val="0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bookmarkStart w:id="1" w:name="_Toc76562812"/>
      <w:r>
        <w:rPr>
          <w:rFonts w:hint="eastAsia" w:ascii="黑体" w:hAnsi="黑体" w:eastAsia="黑体"/>
          <w:sz w:val="32"/>
          <w:szCs w:val="32"/>
        </w:rPr>
        <w:t>二、竞赛内容</w:t>
      </w:r>
      <w:bookmarkEnd w:id="1"/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比赛采用理论与实操相结合的考核形式，分“新能源商用车电控系统故障</w:t>
      </w:r>
      <w:r>
        <w:rPr>
          <w:rFonts w:ascii="仿宋_GB2312" w:eastAsia="仿宋_GB2312"/>
          <w:sz w:val="32"/>
          <w:szCs w:val="32"/>
        </w:rPr>
        <w:t>诊断与排除</w:t>
      </w:r>
      <w:r>
        <w:rPr>
          <w:rFonts w:hint="eastAsia" w:ascii="仿宋_GB2312" w:eastAsia="仿宋_GB2312"/>
          <w:sz w:val="32"/>
          <w:szCs w:val="32"/>
        </w:rPr>
        <w:t>”“新能源商用车电气故障诊断与排除”两个模块进行，职工（教师）组和学生组在命题设置的难度和广度上有所区分。理论考核融入实操考核中，参赛选手在完成实操考核同时，应填写选手作业表，各竞赛模块内容、时长与权重见表1。</w:t>
      </w:r>
    </w:p>
    <w:p>
      <w:pPr>
        <w:overflowPunct w:val="0"/>
        <w:autoSpaceDE w:val="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表1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竞赛内容、时长与权重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1701"/>
        <w:gridCol w:w="1559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1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模块内容</w:t>
            </w:r>
          </w:p>
        </w:tc>
        <w:tc>
          <w:tcPr>
            <w:tcW w:w="1701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竞赛时长</w:t>
            </w:r>
          </w:p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（分钟）</w:t>
            </w:r>
          </w:p>
        </w:tc>
        <w:tc>
          <w:tcPr>
            <w:tcW w:w="1559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权重（%）</w:t>
            </w:r>
          </w:p>
        </w:tc>
        <w:tc>
          <w:tcPr>
            <w:tcW w:w="1355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1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新能源商用车电控系统故障诊断与排除</w:t>
            </w:r>
          </w:p>
        </w:tc>
        <w:tc>
          <w:tcPr>
            <w:tcW w:w="1701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40</w:t>
            </w:r>
          </w:p>
        </w:tc>
        <w:tc>
          <w:tcPr>
            <w:tcW w:w="1559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50</w:t>
            </w:r>
          </w:p>
        </w:tc>
        <w:tc>
          <w:tcPr>
            <w:tcW w:w="1355" w:type="dxa"/>
            <w:vMerge w:val="restart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1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新能源商用车电气故障诊断与排除</w:t>
            </w:r>
          </w:p>
        </w:tc>
        <w:tc>
          <w:tcPr>
            <w:tcW w:w="1701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40</w:t>
            </w:r>
          </w:p>
        </w:tc>
        <w:tc>
          <w:tcPr>
            <w:tcW w:w="1559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50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overflowPunct w:val="0"/>
              <w:autoSpaceDE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overflowPunct w:val="0"/>
        <w:autoSpaceDE w:val="0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每个竞赛模块的作业要求和考核要点如下：</w:t>
      </w:r>
    </w:p>
    <w:p>
      <w:pPr>
        <w:overflowPunct w:val="0"/>
        <w:autoSpaceDE w:val="0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（一）新能源商用车电控系统故障诊断与排除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作业要求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利用解码器对新能源整车电控系统故障代码读取，清码和查看数据流，能熟练使用示波器对整车</w:t>
      </w:r>
      <w:r>
        <w:rPr>
          <w:rFonts w:ascii="仿宋_GB2312" w:eastAsia="仿宋_GB2312"/>
          <w:sz w:val="32"/>
          <w:szCs w:val="32"/>
        </w:rPr>
        <w:t>电控</w:t>
      </w:r>
      <w:r>
        <w:rPr>
          <w:rFonts w:hint="eastAsia" w:ascii="仿宋_GB2312" w:eastAsia="仿宋_GB2312"/>
          <w:sz w:val="32"/>
          <w:szCs w:val="32"/>
        </w:rPr>
        <w:t>系统传感器和执行器以及总线系统进行波形测量。在规定的时间内，要求对新能源整车</w:t>
      </w:r>
      <w:r>
        <w:rPr>
          <w:rFonts w:ascii="仿宋_GB2312" w:eastAsia="仿宋_GB2312"/>
          <w:sz w:val="32"/>
          <w:szCs w:val="32"/>
        </w:rPr>
        <w:t>电控</w:t>
      </w:r>
      <w:r>
        <w:rPr>
          <w:rFonts w:hint="eastAsia" w:ascii="仿宋_GB2312" w:eastAsia="仿宋_GB2312"/>
          <w:sz w:val="32"/>
          <w:szCs w:val="32"/>
        </w:rPr>
        <w:t>系统进行故障诊断，并填写相关记录等。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故障范围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包括元件故障、电路故障、电控系统故障、动力电池</w:t>
      </w:r>
      <w:r>
        <w:rPr>
          <w:rFonts w:ascii="仿宋_GB2312" w:eastAsia="仿宋_GB2312"/>
          <w:sz w:val="32"/>
          <w:szCs w:val="32"/>
        </w:rPr>
        <w:t>故障</w:t>
      </w:r>
      <w:r>
        <w:rPr>
          <w:rFonts w:hint="eastAsia" w:ascii="仿宋_GB2312" w:eastAsia="仿宋_GB2312"/>
          <w:sz w:val="32"/>
          <w:szCs w:val="32"/>
        </w:rPr>
        <w:t>、电机控制</w:t>
      </w:r>
      <w:r>
        <w:rPr>
          <w:rFonts w:ascii="仿宋_GB2312" w:eastAsia="仿宋_GB2312"/>
          <w:sz w:val="32"/>
          <w:szCs w:val="32"/>
        </w:rPr>
        <w:t>系统</w:t>
      </w:r>
      <w:r>
        <w:rPr>
          <w:rFonts w:hint="eastAsia" w:ascii="仿宋_GB2312" w:eastAsia="仿宋_GB2312"/>
          <w:sz w:val="32"/>
          <w:szCs w:val="32"/>
        </w:rPr>
        <w:t>、氢燃料电池</w:t>
      </w:r>
      <w:r>
        <w:rPr>
          <w:rFonts w:ascii="仿宋_GB2312" w:eastAsia="仿宋_GB2312"/>
          <w:sz w:val="32"/>
          <w:szCs w:val="32"/>
        </w:rPr>
        <w:t>系统、储氢系统</w:t>
      </w:r>
      <w:r>
        <w:rPr>
          <w:rFonts w:hint="eastAsia" w:ascii="仿宋_GB2312" w:eastAsia="仿宋_GB2312"/>
          <w:sz w:val="32"/>
          <w:szCs w:val="32"/>
        </w:rPr>
        <w:t>等。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故障包括有故障码故障和无故障码故障，故障形式可分为单系统故障和多系统故障。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考核要点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维修手册的规范，在规定时间内完成作业的流程，通过逻辑诊断和检测，发现和确认故障点，按照裁判现场要求排除故障，并完整准确填写《整车电控系统故障诊断作业表》。作业中要求熟练地查阅维修资料、正确使用工量具和仪器设备、准确测量技术参数和判断故障点，正确记录作业过程和测试数据，撰写评估报告，环境保护及安全文明作业。具体涉及整车控制</w:t>
      </w:r>
      <w:r>
        <w:rPr>
          <w:rFonts w:ascii="仿宋_GB2312" w:eastAsia="仿宋_GB2312"/>
          <w:sz w:val="32"/>
          <w:szCs w:val="32"/>
        </w:rPr>
        <w:t>器</w:t>
      </w:r>
      <w:r>
        <w:rPr>
          <w:rFonts w:hint="eastAsia" w:ascii="仿宋_GB2312" w:eastAsia="仿宋_GB2312"/>
          <w:sz w:val="32"/>
          <w:szCs w:val="32"/>
        </w:rPr>
        <w:t>电源供给、传感器和执行器检测、总线故障检测、低压和高压电路故障检测、燃料</w:t>
      </w:r>
      <w:r>
        <w:rPr>
          <w:rFonts w:ascii="仿宋_GB2312" w:eastAsia="仿宋_GB2312"/>
          <w:sz w:val="32"/>
          <w:szCs w:val="32"/>
        </w:rPr>
        <w:t>电池</w:t>
      </w:r>
      <w:r>
        <w:rPr>
          <w:rFonts w:hint="eastAsia" w:ascii="仿宋_GB2312" w:eastAsia="仿宋_GB2312"/>
          <w:sz w:val="32"/>
          <w:szCs w:val="32"/>
        </w:rPr>
        <w:t>控制系统、动力电池系统、电机控制系统。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bookmarkStart w:id="2" w:name="_Toc74844938"/>
      <w:bookmarkStart w:id="3" w:name="_Toc74410087"/>
      <w:r>
        <w:rPr>
          <w:rFonts w:hint="eastAsia" w:ascii="仿宋_GB2312" w:eastAsia="仿宋_GB2312"/>
          <w:sz w:val="32"/>
          <w:szCs w:val="32"/>
        </w:rPr>
        <w:t>（二）新能源商用车电气故障诊断与排除</w:t>
      </w:r>
      <w:bookmarkEnd w:id="2"/>
      <w:bookmarkEnd w:id="3"/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作业要求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在规定的时间内，要求对指定的车身电气系统进行故障诊断，并填写相关记录。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故障范围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包括元件故障、电路故障等。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故障所涉及系统有：电源供给系统、起动系统、照明/信号系统、充电系统、仪表系统、通讯系统、喇叭、雨刮等车身电气系统的故障检测。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3．考核要点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本模块中，选手应熟悉整车各电路系统的组成，能在维修手册中正确查找电路图，利用万用表、试灯、测试导线等工具进行整车电路检测，在规定时间内完成作业流程，通过逻辑诊断和检测，发现和确认故障点，按照现场要求排除故障，并完整准确填写《整车电气系统故障诊断作业表》。作业中要求熟练地查阅维修资料、正确使用工量具和仪器设备、准确测量技术参数和判断故障点，正确记录作业过程和测试数据，撰写评估报告，环境保护及安全文明作业。</w:t>
      </w:r>
    </w:p>
    <w:p>
      <w:pPr>
        <w:overflowPunct w:val="0"/>
        <w:autoSpaceDE w:val="0"/>
        <w:ind w:firstLine="640" w:firstLineChars="200"/>
        <w:rPr>
          <w:rFonts w:ascii="黑体" w:hAnsi="黑体" w:eastAsia="黑体"/>
          <w:sz w:val="32"/>
          <w:szCs w:val="32"/>
        </w:rPr>
      </w:pPr>
      <w:bookmarkStart w:id="4" w:name="_Toc76562813"/>
      <w:r>
        <w:rPr>
          <w:rFonts w:hint="eastAsia" w:ascii="黑体" w:hAnsi="黑体" w:eastAsia="黑体"/>
          <w:sz w:val="32"/>
          <w:szCs w:val="32"/>
        </w:rPr>
        <w:t>三、竞赛方式</w:t>
      </w:r>
      <w:bookmarkEnd w:id="4"/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（一）参赛条件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能源商用车检测与维修职业技能决赛分为职工（教师）组和学生组两个组别，均为个人赛，本次选拔赛参赛以山东省内企业、院校为单位组织选拔推荐，并在此基础上组队参赛。参赛选手须为企业正式员工或院校在籍学生，思想品德优秀、身体健康，具备新能源商用车维修的扎实理论基础和较高的技能水平。</w:t>
      </w:r>
    </w:p>
    <w:p>
      <w:pPr>
        <w:pStyle w:val="22"/>
        <w:numPr>
          <w:ilvl w:val="0"/>
          <w:numId w:val="1"/>
        </w:numPr>
        <w:overflowPunct w:val="0"/>
        <w:autoSpaceDE w:val="0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竞赛队伍组成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符合参赛条件的院校(企业)可独立报名，同一院校(企业)参赛队职工（教师）组/学生组各组别推荐选手不得超过3人，指导教师、教练均不得超过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人，裁判1人，领队1人。</w:t>
      </w:r>
    </w:p>
    <w:p>
      <w:pPr>
        <w:pStyle w:val="22"/>
        <w:numPr>
          <w:ilvl w:val="0"/>
          <w:numId w:val="1"/>
        </w:numPr>
        <w:overflowPunct w:val="0"/>
        <w:autoSpaceDE w:val="0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报名条件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bookmarkStart w:id="5" w:name="_Toc76562814"/>
      <w:r>
        <w:rPr>
          <w:rFonts w:hint="eastAsia" w:ascii="仿宋_GB2312" w:eastAsia="仿宋_GB2312"/>
          <w:sz w:val="32"/>
          <w:szCs w:val="32"/>
        </w:rPr>
        <w:t>1.职工（教师）组：现企业/院校在职在岗职工/教师。职工（教师）组不设年龄限制。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2.学生组：山东省内各院校相关专业在读学生，年龄不得超过22岁（2000年1月1日之后出生）。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3.裁判：各参赛单位选派1人（需熟悉赛项技术规程）。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注：已获“山东省技术能手”人员不得以选手身份参赛。</w:t>
      </w:r>
    </w:p>
    <w:p>
      <w:pPr>
        <w:overflowPunct w:val="0"/>
        <w:autoSpaceDE w:val="0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四、竞赛流程</w:t>
      </w:r>
      <w:bookmarkEnd w:id="5"/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竞赛日期：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学生组：2</w:t>
      </w:r>
      <w:r>
        <w:rPr>
          <w:rFonts w:ascii="仿宋_GB2312" w:eastAsia="仿宋_GB2312"/>
          <w:sz w:val="32"/>
          <w:szCs w:val="32"/>
        </w:rPr>
        <w:t>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23</w:t>
      </w:r>
      <w:r>
        <w:rPr>
          <w:rFonts w:hint="eastAsia" w:ascii="仿宋_GB2312" w:eastAsia="仿宋_GB2312"/>
          <w:sz w:val="32"/>
          <w:szCs w:val="32"/>
        </w:rPr>
        <w:t>日—</w:t>
      </w:r>
      <w:r>
        <w:rPr>
          <w:rFonts w:ascii="仿宋_GB2312" w:eastAsia="仿宋_GB2312"/>
          <w:sz w:val="32"/>
          <w:szCs w:val="32"/>
        </w:rPr>
        <w:t>24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职工（教师）组：2</w:t>
      </w:r>
      <w:r>
        <w:rPr>
          <w:rFonts w:ascii="仿宋_GB2312" w:eastAsia="仿宋_GB2312"/>
          <w:sz w:val="32"/>
          <w:szCs w:val="32"/>
        </w:rPr>
        <w:t>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23</w:t>
      </w:r>
      <w:r>
        <w:rPr>
          <w:rFonts w:hint="eastAsia" w:ascii="仿宋_GB2312" w:eastAsia="仿宋_GB2312"/>
          <w:sz w:val="32"/>
          <w:szCs w:val="32"/>
        </w:rPr>
        <w:t>日—</w:t>
      </w:r>
      <w:r>
        <w:rPr>
          <w:rFonts w:ascii="仿宋_GB2312" w:eastAsia="仿宋_GB2312"/>
          <w:sz w:val="32"/>
          <w:szCs w:val="32"/>
        </w:rPr>
        <w:t>24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竞赛时间安排：正式比赛时间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天，竞赛安排见表2（具体时间需根据报名人确定）。</w:t>
      </w:r>
    </w:p>
    <w:p>
      <w:pPr>
        <w:overflowPunct w:val="0"/>
        <w:autoSpaceDE w:val="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表2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竞赛日程及内容</w:t>
      </w:r>
    </w:p>
    <w:tbl>
      <w:tblPr>
        <w:tblStyle w:val="15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695"/>
        <w:gridCol w:w="1555"/>
        <w:gridCol w:w="578"/>
        <w:gridCol w:w="3686"/>
        <w:gridCol w:w="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6" w:name="_Toc76562815"/>
            <w:r>
              <w:rPr>
                <w:rFonts w:hint="eastAsia" w:ascii="仿宋_GB2312" w:eastAsia="仿宋_GB2312"/>
                <w:sz w:val="24"/>
                <w:szCs w:val="24"/>
              </w:rPr>
              <w:t>项目</w:t>
            </w:r>
          </w:p>
        </w:tc>
        <w:tc>
          <w:tcPr>
            <w:tcW w:w="3250" w:type="dxa"/>
            <w:gridSpan w:val="2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时间</w:t>
            </w:r>
          </w:p>
        </w:tc>
        <w:tc>
          <w:tcPr>
            <w:tcW w:w="578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场次</w:t>
            </w:r>
          </w:p>
        </w:tc>
        <w:tc>
          <w:tcPr>
            <w:tcW w:w="3686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内容</w:t>
            </w:r>
          </w:p>
        </w:tc>
        <w:tc>
          <w:tcPr>
            <w:tcW w:w="509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82" w:type="dxa"/>
            <w:vMerge w:val="restart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赛前准备</w:t>
            </w:r>
          </w:p>
        </w:tc>
        <w:tc>
          <w:tcPr>
            <w:tcW w:w="1695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9月20-21日</w:t>
            </w:r>
          </w:p>
        </w:tc>
        <w:tc>
          <w:tcPr>
            <w:tcW w:w="1555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8:</w:t>
            </w:r>
            <w:r>
              <w:rPr>
                <w:rFonts w:ascii="仿宋_GB2312" w:eastAsia="仿宋_GB2312"/>
                <w:sz w:val="24"/>
                <w:szCs w:val="24"/>
              </w:rPr>
              <w:t>30-17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</w:p>
        </w:tc>
        <w:tc>
          <w:tcPr>
            <w:tcW w:w="578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命题</w:t>
            </w:r>
          </w:p>
        </w:tc>
        <w:tc>
          <w:tcPr>
            <w:tcW w:w="3686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专家封闭命题</w:t>
            </w:r>
          </w:p>
        </w:tc>
        <w:tc>
          <w:tcPr>
            <w:tcW w:w="509" w:type="dxa"/>
            <w:vMerge w:val="restart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9月22日</w:t>
            </w:r>
          </w:p>
        </w:tc>
        <w:tc>
          <w:tcPr>
            <w:tcW w:w="1555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8:</w:t>
            </w:r>
            <w:r>
              <w:rPr>
                <w:rFonts w:ascii="仿宋_GB2312" w:eastAsia="仿宋_GB2312"/>
                <w:sz w:val="24"/>
                <w:szCs w:val="24"/>
              </w:rPr>
              <w:t>30-11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578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培训</w:t>
            </w:r>
          </w:p>
        </w:tc>
        <w:tc>
          <w:tcPr>
            <w:tcW w:w="3686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裁判培训</w:t>
            </w:r>
          </w:p>
        </w:tc>
        <w:tc>
          <w:tcPr>
            <w:tcW w:w="509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00-16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</w:p>
        </w:tc>
        <w:tc>
          <w:tcPr>
            <w:tcW w:w="578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报到</w:t>
            </w:r>
          </w:p>
        </w:tc>
        <w:tc>
          <w:tcPr>
            <w:tcW w:w="3686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职工（教师）组/学生组参赛选手熟悉场地及宣读竞赛纪律</w:t>
            </w:r>
          </w:p>
        </w:tc>
        <w:tc>
          <w:tcPr>
            <w:tcW w:w="509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6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00-17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</w:p>
        </w:tc>
        <w:tc>
          <w:tcPr>
            <w:tcW w:w="578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抽签</w:t>
            </w:r>
          </w:p>
        </w:tc>
        <w:tc>
          <w:tcPr>
            <w:tcW w:w="3686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领队及参赛队代表</w:t>
            </w:r>
          </w:p>
        </w:tc>
        <w:tc>
          <w:tcPr>
            <w:tcW w:w="509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" w:type="dxa"/>
            <w:vMerge w:val="restart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竞</w:t>
            </w:r>
          </w:p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</w:t>
            </w:r>
          </w:p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学生组/职工（教师）组</w:t>
            </w:r>
          </w:p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9月23日</w:t>
            </w:r>
          </w:p>
        </w:tc>
        <w:tc>
          <w:tcPr>
            <w:tcW w:w="1555" w:type="dxa"/>
            <w:vMerge w:val="restart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8:</w:t>
            </w:r>
            <w:r>
              <w:rPr>
                <w:rFonts w:ascii="仿宋_GB2312" w:eastAsia="仿宋_GB2312"/>
                <w:sz w:val="24"/>
                <w:szCs w:val="24"/>
              </w:rPr>
              <w:t>30-9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第一场</w:t>
            </w:r>
          </w:p>
        </w:tc>
        <w:tc>
          <w:tcPr>
            <w:tcW w:w="3686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新能源商用车电控系统故障诊断与排除</w:t>
            </w:r>
          </w:p>
        </w:tc>
        <w:tc>
          <w:tcPr>
            <w:tcW w:w="509" w:type="dxa"/>
            <w:vMerge w:val="restart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新能源商用车电气故障诊断与排除</w:t>
            </w:r>
          </w:p>
        </w:tc>
        <w:tc>
          <w:tcPr>
            <w:tcW w:w="509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30-10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第二场</w:t>
            </w:r>
          </w:p>
        </w:tc>
        <w:tc>
          <w:tcPr>
            <w:tcW w:w="3686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新能源商用车电控系统故障诊断与排除</w:t>
            </w:r>
          </w:p>
        </w:tc>
        <w:tc>
          <w:tcPr>
            <w:tcW w:w="509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新能源商用车电气故障诊断与排除</w:t>
            </w:r>
          </w:p>
        </w:tc>
        <w:tc>
          <w:tcPr>
            <w:tcW w:w="509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30-11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第三场</w:t>
            </w:r>
          </w:p>
        </w:tc>
        <w:tc>
          <w:tcPr>
            <w:tcW w:w="3686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新能源商用车电控系统故障诊断与排除</w:t>
            </w:r>
          </w:p>
        </w:tc>
        <w:tc>
          <w:tcPr>
            <w:tcW w:w="509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新能源商用车电气故障诊断与排除</w:t>
            </w:r>
          </w:p>
        </w:tc>
        <w:tc>
          <w:tcPr>
            <w:tcW w:w="509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13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00-14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第四场</w:t>
            </w:r>
          </w:p>
        </w:tc>
        <w:tc>
          <w:tcPr>
            <w:tcW w:w="3686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新能源商用车电控系统故障诊断与排除</w:t>
            </w:r>
          </w:p>
        </w:tc>
        <w:tc>
          <w:tcPr>
            <w:tcW w:w="509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新能源商用车电气故障诊断与排除</w:t>
            </w:r>
          </w:p>
        </w:tc>
        <w:tc>
          <w:tcPr>
            <w:tcW w:w="509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14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00-15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第五场</w:t>
            </w:r>
          </w:p>
        </w:tc>
        <w:tc>
          <w:tcPr>
            <w:tcW w:w="3686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新能源商用车电控系统故障诊断与排除</w:t>
            </w:r>
          </w:p>
        </w:tc>
        <w:tc>
          <w:tcPr>
            <w:tcW w:w="509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新能源商用车电气故障诊断与排除</w:t>
            </w:r>
          </w:p>
        </w:tc>
        <w:tc>
          <w:tcPr>
            <w:tcW w:w="509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15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00-16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第六场</w:t>
            </w:r>
          </w:p>
        </w:tc>
        <w:tc>
          <w:tcPr>
            <w:tcW w:w="3686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新能源商用车电控系统故障诊断与排除</w:t>
            </w:r>
          </w:p>
        </w:tc>
        <w:tc>
          <w:tcPr>
            <w:tcW w:w="509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新能源商用车电气故障诊断与排除</w:t>
            </w:r>
          </w:p>
        </w:tc>
        <w:tc>
          <w:tcPr>
            <w:tcW w:w="509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16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00-17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第七场</w:t>
            </w:r>
          </w:p>
        </w:tc>
        <w:tc>
          <w:tcPr>
            <w:tcW w:w="3686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新能源商用车电控系统故障诊断与排除</w:t>
            </w:r>
          </w:p>
        </w:tc>
        <w:tc>
          <w:tcPr>
            <w:tcW w:w="509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新能源商用车电气故障诊断与排除</w:t>
            </w:r>
          </w:p>
        </w:tc>
        <w:tc>
          <w:tcPr>
            <w:tcW w:w="509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17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00-18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第八场</w:t>
            </w:r>
          </w:p>
        </w:tc>
        <w:tc>
          <w:tcPr>
            <w:tcW w:w="3686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新能源商用车电控系统故障诊断与排除</w:t>
            </w:r>
          </w:p>
        </w:tc>
        <w:tc>
          <w:tcPr>
            <w:tcW w:w="509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新能源商用车电气故障诊断与排除</w:t>
            </w:r>
          </w:p>
        </w:tc>
        <w:tc>
          <w:tcPr>
            <w:tcW w:w="509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学生组/职工（教师）组</w:t>
            </w:r>
          </w:p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9月24日</w:t>
            </w:r>
          </w:p>
        </w:tc>
        <w:tc>
          <w:tcPr>
            <w:tcW w:w="1555" w:type="dxa"/>
            <w:vMerge w:val="restart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8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00-9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第九场</w:t>
            </w:r>
          </w:p>
        </w:tc>
        <w:tc>
          <w:tcPr>
            <w:tcW w:w="3686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新能源商用车电控系统故障诊断与排除</w:t>
            </w:r>
          </w:p>
        </w:tc>
        <w:tc>
          <w:tcPr>
            <w:tcW w:w="509" w:type="dxa"/>
            <w:vMerge w:val="restart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新能源商用车电气故障诊断与排除</w:t>
            </w:r>
          </w:p>
        </w:tc>
        <w:tc>
          <w:tcPr>
            <w:tcW w:w="509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00-10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第十场</w:t>
            </w:r>
          </w:p>
        </w:tc>
        <w:tc>
          <w:tcPr>
            <w:tcW w:w="3686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新能源商用车电控系统故障诊断与排除</w:t>
            </w:r>
          </w:p>
        </w:tc>
        <w:tc>
          <w:tcPr>
            <w:tcW w:w="509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新能源商用车电气故障诊断与排除</w:t>
            </w:r>
          </w:p>
        </w:tc>
        <w:tc>
          <w:tcPr>
            <w:tcW w:w="509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00-11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第十一场</w:t>
            </w:r>
          </w:p>
        </w:tc>
        <w:tc>
          <w:tcPr>
            <w:tcW w:w="3686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新能源商用车电控系统故障诊断与排除</w:t>
            </w:r>
          </w:p>
        </w:tc>
        <w:tc>
          <w:tcPr>
            <w:tcW w:w="509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新能源商用车电气故障诊断与排除</w:t>
            </w:r>
          </w:p>
        </w:tc>
        <w:tc>
          <w:tcPr>
            <w:tcW w:w="509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11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00-12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第十二场</w:t>
            </w:r>
          </w:p>
        </w:tc>
        <w:tc>
          <w:tcPr>
            <w:tcW w:w="3686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新能源商用车电控系统故障诊断与排除</w:t>
            </w:r>
          </w:p>
        </w:tc>
        <w:tc>
          <w:tcPr>
            <w:tcW w:w="509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新能源商用车电气故障诊断与排除</w:t>
            </w:r>
          </w:p>
        </w:tc>
        <w:tc>
          <w:tcPr>
            <w:tcW w:w="509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13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00-14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第十三场</w:t>
            </w:r>
          </w:p>
        </w:tc>
        <w:tc>
          <w:tcPr>
            <w:tcW w:w="3686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新能源商用车电控系统故障诊断与排除</w:t>
            </w:r>
          </w:p>
        </w:tc>
        <w:tc>
          <w:tcPr>
            <w:tcW w:w="509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新能源商用车电气故障诊断与排除</w:t>
            </w:r>
          </w:p>
        </w:tc>
        <w:tc>
          <w:tcPr>
            <w:tcW w:w="509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14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00-15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第十四场</w:t>
            </w:r>
          </w:p>
        </w:tc>
        <w:tc>
          <w:tcPr>
            <w:tcW w:w="3686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新能源商用车电控系统故障诊断与排除</w:t>
            </w:r>
          </w:p>
        </w:tc>
        <w:tc>
          <w:tcPr>
            <w:tcW w:w="509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新能源商用车电气故障诊断与排除</w:t>
            </w:r>
          </w:p>
        </w:tc>
        <w:tc>
          <w:tcPr>
            <w:tcW w:w="509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15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00-16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第十五场</w:t>
            </w:r>
          </w:p>
        </w:tc>
        <w:tc>
          <w:tcPr>
            <w:tcW w:w="3686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新能源商用车电控系统故障诊断与排除</w:t>
            </w:r>
          </w:p>
        </w:tc>
        <w:tc>
          <w:tcPr>
            <w:tcW w:w="509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新能源商用车电气故障诊断与排除</w:t>
            </w:r>
          </w:p>
        </w:tc>
        <w:tc>
          <w:tcPr>
            <w:tcW w:w="509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16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00-17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第十六场</w:t>
            </w:r>
          </w:p>
        </w:tc>
        <w:tc>
          <w:tcPr>
            <w:tcW w:w="3686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新能源商用车电控系统故障诊断与排除</w:t>
            </w:r>
          </w:p>
        </w:tc>
        <w:tc>
          <w:tcPr>
            <w:tcW w:w="509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新能源商用车电气故障诊断与排除</w:t>
            </w:r>
          </w:p>
        </w:tc>
        <w:tc>
          <w:tcPr>
            <w:tcW w:w="509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17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00-18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第十七场</w:t>
            </w:r>
          </w:p>
        </w:tc>
        <w:tc>
          <w:tcPr>
            <w:tcW w:w="3686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新能源商用车电控系统故障诊断与排除</w:t>
            </w:r>
          </w:p>
        </w:tc>
        <w:tc>
          <w:tcPr>
            <w:tcW w:w="509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新能源商用车电气故障诊断与排除</w:t>
            </w:r>
          </w:p>
        </w:tc>
        <w:tc>
          <w:tcPr>
            <w:tcW w:w="509" w:type="dxa"/>
            <w:vMerge w:val="continue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482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总结</w:t>
            </w:r>
          </w:p>
        </w:tc>
        <w:tc>
          <w:tcPr>
            <w:tcW w:w="1695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9月24日</w:t>
            </w:r>
          </w:p>
        </w:tc>
        <w:tc>
          <w:tcPr>
            <w:tcW w:w="1555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20:</w:t>
            </w:r>
            <w:r>
              <w:rPr>
                <w:rFonts w:ascii="仿宋_GB2312" w:eastAsia="仿宋_GB2312"/>
                <w:sz w:val="24"/>
                <w:szCs w:val="24"/>
              </w:rPr>
              <w:t>00-</w:t>
            </w:r>
            <w:r>
              <w:rPr>
                <w:rFonts w:hint="eastAsia" w:ascii="仿宋_GB2312" w:eastAsia="仿宋_GB2312"/>
                <w:sz w:val="24"/>
                <w:szCs w:val="24"/>
              </w:rPr>
              <w:t>21: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</w:p>
        </w:tc>
        <w:tc>
          <w:tcPr>
            <w:tcW w:w="578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赛项总结</w:t>
            </w:r>
          </w:p>
        </w:tc>
        <w:tc>
          <w:tcPr>
            <w:tcW w:w="509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讲堂</w:t>
            </w:r>
          </w:p>
        </w:tc>
      </w:tr>
    </w:tbl>
    <w:p>
      <w:pPr>
        <w:overflowPunct w:val="0"/>
        <w:autoSpaceDE w:val="0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五、竞赛命题</w:t>
      </w:r>
      <w:bookmarkEnd w:id="6"/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（一）命题流程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专家组依据本规程公布的作业要求和考核要点负责编制竞赛用试题，试题与评分标准对应考核模块的考核点或规范操作要点。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（二）专家命题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由专家组赛前</w:t>
      </w:r>
      <w:r>
        <w:rPr>
          <w:rFonts w:ascii="仿宋_GB2312" w:eastAsia="仿宋_GB2312"/>
          <w:sz w:val="32"/>
          <w:szCs w:val="32"/>
        </w:rPr>
        <w:t>3天封闭式完成比赛试题的具体命制与验证，包括根据比赛车型和机型，确定故障现象，设置具体故障点并予以验证、准确的电器和机械参数测量、完成评分细则，同时验证比赛试题作业的难易程度和需要的标准工作时间等，最终确定试题的选手报告单、</w:t>
      </w:r>
      <w:r>
        <w:rPr>
          <w:rFonts w:hint="eastAsia" w:ascii="仿宋_GB2312" w:eastAsia="仿宋_GB2312"/>
          <w:sz w:val="32"/>
          <w:szCs w:val="32"/>
        </w:rPr>
        <w:t>作业表</w:t>
      </w:r>
      <w:r>
        <w:rPr>
          <w:rFonts w:ascii="仿宋_GB2312" w:eastAsia="仿宋_GB2312"/>
          <w:sz w:val="32"/>
          <w:szCs w:val="32"/>
        </w:rPr>
        <w:t>和评分表。在开赛当天专家组对裁判进行培训，培训讲解评分细则。命题专家在比赛过程中作为各考核模块的技术支持专家，不参与直接执裁打分，负责裁判培训、指导并监督执裁、处理现场出现的问题、以及协助裁判长做好技术管理等工作。专家组须指定专人负责赛题印刷、双信封加密保管、领</w:t>
      </w:r>
      <w:r>
        <w:rPr>
          <w:rFonts w:hint="eastAsia" w:ascii="仿宋_GB2312" w:eastAsia="仿宋_GB2312"/>
          <w:sz w:val="32"/>
          <w:szCs w:val="32"/>
        </w:rPr>
        <w:t>取和回收工作。</w:t>
      </w:r>
    </w:p>
    <w:p>
      <w:pPr>
        <w:overflowPunct w:val="0"/>
        <w:autoSpaceDE w:val="0"/>
        <w:ind w:firstLine="640" w:firstLineChars="200"/>
        <w:rPr>
          <w:rFonts w:ascii="黑体" w:hAnsi="黑体" w:eastAsia="黑体"/>
          <w:sz w:val="32"/>
          <w:szCs w:val="32"/>
        </w:rPr>
      </w:pPr>
      <w:bookmarkStart w:id="7" w:name="_Toc76562816"/>
      <w:r>
        <w:rPr>
          <w:rFonts w:hint="eastAsia" w:ascii="黑体" w:hAnsi="黑体" w:eastAsia="黑体"/>
          <w:sz w:val="32"/>
          <w:szCs w:val="32"/>
        </w:rPr>
        <w:t>六、竞赛规则</w:t>
      </w:r>
      <w:bookmarkEnd w:id="7"/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（一）熟悉场地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赛项比赛前一天下午安排参赛队熟悉比赛场地，宣布竞赛纪律和有关规定。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（二）检录与加密解密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按照保密要求，进行检录、一次加密、二次加密及解密等工作。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（三）正式比赛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1.每轮比赛统一听从裁判长发布竞赛开始指令后正式开始竞赛，参赛选手</w:t>
      </w:r>
      <w:r>
        <w:rPr>
          <w:rFonts w:hint="eastAsia" w:ascii="仿宋_GB2312" w:eastAsia="仿宋_GB2312"/>
          <w:sz w:val="32"/>
          <w:szCs w:val="32"/>
        </w:rPr>
        <w:t>合理计划安排，利用现场提供的所有条件完成竞赛任务。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2.参赛选手在比赛期间实行封闭管理。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3.竞赛过程中，参赛选手须严格遵守安全操作规程，并接受裁判员的监督</w:t>
      </w:r>
      <w:r>
        <w:rPr>
          <w:rFonts w:hint="eastAsia" w:ascii="仿宋_GB2312" w:eastAsia="仿宋_GB2312"/>
          <w:sz w:val="32"/>
          <w:szCs w:val="32"/>
        </w:rPr>
        <w:t>和警示，以确保安全。参赛选手因个人误操作造成人身安全事故和设备故障时，裁判长有权中止该参赛选手竞赛；如非参赛选手个人因素出现设备故障而无法竞赛，由裁判长视具体情况做出裁决</w:t>
      </w:r>
      <w:r>
        <w:rPr>
          <w:rFonts w:ascii="仿宋_GB2312" w:eastAsia="仿宋_GB2312"/>
          <w:sz w:val="32"/>
          <w:szCs w:val="32"/>
        </w:rPr>
        <w:t>(调换到备份工位或调整至最后一场次参加</w:t>
      </w:r>
      <w:r>
        <w:rPr>
          <w:rFonts w:hint="eastAsia" w:ascii="仿宋_GB2312" w:eastAsia="仿宋_GB2312"/>
          <w:sz w:val="32"/>
          <w:szCs w:val="32"/>
        </w:rPr>
        <w:t>竞赛</w:t>
      </w:r>
      <w:r>
        <w:rPr>
          <w:rFonts w:ascii="仿宋_GB2312" w:eastAsia="仿宋_GB2312"/>
          <w:sz w:val="32"/>
          <w:szCs w:val="32"/>
        </w:rPr>
        <w:t>)；如裁判长确定设备故障可由技术支持人员排除故障后继续竞赛，将给参</w:t>
      </w:r>
      <w:r>
        <w:rPr>
          <w:rFonts w:hint="eastAsia" w:ascii="仿宋_GB2312" w:eastAsia="仿宋_GB2312"/>
          <w:sz w:val="32"/>
          <w:szCs w:val="32"/>
        </w:rPr>
        <w:t>赛选手补足所耽误的竞赛时间。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4.参赛选手若提前结束竞赛，应举手向裁判员示意，竞赛结束时间由现场</w:t>
      </w:r>
      <w:r>
        <w:rPr>
          <w:rFonts w:hint="eastAsia" w:ascii="仿宋_GB2312" w:eastAsia="仿宋_GB2312"/>
          <w:sz w:val="32"/>
          <w:szCs w:val="32"/>
        </w:rPr>
        <w:t>裁判记录，参赛选手结束竞赛后不得再进行任何操作。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5.裁判长在竞赛阶段统一进行剩余时间提醒、发布竞赛结束指令。竞赛结</w:t>
      </w:r>
      <w:r>
        <w:rPr>
          <w:rFonts w:hint="eastAsia" w:ascii="仿宋_GB2312" w:eastAsia="仿宋_GB2312"/>
          <w:sz w:val="32"/>
          <w:szCs w:val="32"/>
        </w:rPr>
        <w:t>束时所有未完成任务参赛选手立即停止操作。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6.参赛选手不携带任何参赛队及个人信息、任何通讯及存储设备、纸质材</w:t>
      </w:r>
      <w:r>
        <w:rPr>
          <w:rFonts w:hint="eastAsia" w:ascii="仿宋_GB2312" w:eastAsia="仿宋_GB2312"/>
          <w:sz w:val="32"/>
          <w:szCs w:val="32"/>
        </w:rPr>
        <w:t>料等物品进入赛场，赛场内提供必需用品。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7.参赛选手提交的选手</w:t>
      </w:r>
      <w:r>
        <w:rPr>
          <w:rFonts w:hint="eastAsia" w:ascii="仿宋_GB2312" w:eastAsia="仿宋_GB2312"/>
          <w:sz w:val="32"/>
          <w:szCs w:val="32"/>
        </w:rPr>
        <w:t>作业表</w:t>
      </w:r>
      <w:r>
        <w:rPr>
          <w:rFonts w:ascii="仿宋_GB2312" w:eastAsia="仿宋_GB2312"/>
          <w:sz w:val="32"/>
          <w:szCs w:val="32"/>
        </w:rPr>
        <w:t>等竞赛成果，需要现场裁判与参赛选手签工</w:t>
      </w:r>
      <w:r>
        <w:rPr>
          <w:rFonts w:hint="eastAsia" w:ascii="仿宋_GB2312" w:eastAsia="仿宋_GB2312"/>
          <w:sz w:val="32"/>
          <w:szCs w:val="32"/>
        </w:rPr>
        <w:t>位号确认。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8.其它未涉及事项或突发事件，由</w:t>
      </w:r>
      <w:r>
        <w:rPr>
          <w:rFonts w:hint="eastAsia" w:ascii="仿宋_GB2312" w:eastAsia="仿宋_GB2312"/>
          <w:sz w:val="32"/>
          <w:szCs w:val="32"/>
        </w:rPr>
        <w:t>竞</w:t>
      </w:r>
      <w:r>
        <w:rPr>
          <w:rFonts w:ascii="仿宋_GB2312" w:eastAsia="仿宋_GB2312"/>
          <w:sz w:val="32"/>
          <w:szCs w:val="32"/>
        </w:rPr>
        <w:t>赛组委会负责解释或决定。</w:t>
      </w:r>
    </w:p>
    <w:p>
      <w:pPr>
        <w:overflowPunct w:val="0"/>
        <w:autoSpaceDE w:val="0"/>
        <w:ind w:firstLine="640" w:firstLineChars="200"/>
        <w:rPr>
          <w:rFonts w:ascii="黑体" w:hAnsi="黑体" w:eastAsia="黑体"/>
          <w:sz w:val="32"/>
          <w:szCs w:val="32"/>
        </w:rPr>
      </w:pPr>
      <w:bookmarkStart w:id="8" w:name="_Toc76562817"/>
      <w:r>
        <w:rPr>
          <w:rFonts w:hint="eastAsia" w:ascii="黑体" w:hAnsi="黑体" w:eastAsia="黑体"/>
          <w:sz w:val="32"/>
          <w:szCs w:val="32"/>
        </w:rPr>
        <w:t>七、竞赛环境</w:t>
      </w:r>
      <w:bookmarkEnd w:id="8"/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竞赛场地在潍柴技师学院合格场地进行，“新能源商用车电控系统故障诊断与排除”“新能源商用车电气故障诊断与排除”两个模块在两个场地上进行，赛场内各赛项工位可适当分散增大间隔。其竞赛场地面积和比赛工位设置如下，具体见表</w:t>
      </w:r>
      <w:r>
        <w:rPr>
          <w:rFonts w:ascii="仿宋_GB2312" w:eastAsia="仿宋_GB2312"/>
          <w:sz w:val="32"/>
          <w:szCs w:val="32"/>
        </w:rPr>
        <w:t>3（比赛工位数根据最后报名参赛队数量调整），实操竞赛工位</w:t>
      </w:r>
      <w:r>
        <w:rPr>
          <w:rFonts w:hint="eastAsia" w:ascii="仿宋_GB2312" w:eastAsia="仿宋_GB2312"/>
          <w:sz w:val="32"/>
          <w:szCs w:val="32"/>
        </w:rPr>
        <w:t>布置如图</w:t>
      </w:r>
      <w:r>
        <w:rPr>
          <w:rFonts w:ascii="仿宋_GB2312" w:eastAsia="仿宋_GB2312"/>
          <w:sz w:val="32"/>
          <w:szCs w:val="32"/>
        </w:rPr>
        <w:t>1-图2。</w:t>
      </w:r>
    </w:p>
    <w:p>
      <w:pPr>
        <w:overflowPunct w:val="0"/>
        <w:autoSpaceDE w:val="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</w:t>
      </w:r>
      <w:r>
        <w:rPr>
          <w:rFonts w:ascii="仿宋_GB2312" w:eastAsia="仿宋_GB2312"/>
          <w:sz w:val="32"/>
          <w:szCs w:val="32"/>
        </w:rPr>
        <w:t xml:space="preserve">3  </w:t>
      </w:r>
      <w:r>
        <w:rPr>
          <w:rFonts w:hint="eastAsia" w:ascii="仿宋_GB2312" w:eastAsia="仿宋_GB2312"/>
          <w:sz w:val="32"/>
          <w:szCs w:val="32"/>
        </w:rPr>
        <w:t>各模块占地面积及工位数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0"/>
        <w:gridCol w:w="1559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0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竞赛模块</w:t>
            </w:r>
          </w:p>
        </w:tc>
        <w:tc>
          <w:tcPr>
            <w:tcW w:w="1559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场地面积（㎡）</w:t>
            </w:r>
          </w:p>
        </w:tc>
        <w:tc>
          <w:tcPr>
            <w:tcW w:w="1497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工位数（个）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5240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新能源商用车电控系统故障诊断与排除</w:t>
            </w:r>
          </w:p>
        </w:tc>
        <w:tc>
          <w:tcPr>
            <w:tcW w:w="1559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32"/>
              </w:rPr>
              <w:t>00</w:t>
            </w:r>
          </w:p>
        </w:tc>
        <w:tc>
          <w:tcPr>
            <w:tcW w:w="1497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240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新能源商用车电气故障诊断与排除</w:t>
            </w:r>
          </w:p>
        </w:tc>
        <w:tc>
          <w:tcPr>
            <w:tcW w:w="1559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00</w:t>
            </w:r>
          </w:p>
        </w:tc>
        <w:tc>
          <w:tcPr>
            <w:tcW w:w="1497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</w:tr>
    </w:tbl>
    <w:p>
      <w:pPr>
        <w:overflowPunct w:val="0"/>
        <w:autoSpaceDE w:val="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4867275" cy="3063875"/>
            <wp:effectExtent l="0" t="0" r="0" b="3175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4932" cy="3062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overflowPunct w:val="0"/>
        <w:autoSpaceDE w:val="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图</w:t>
      </w:r>
      <w:r>
        <w:rPr>
          <w:rFonts w:ascii="仿宋_GB2312" w:eastAsia="仿宋_GB2312"/>
          <w:sz w:val="32"/>
          <w:szCs w:val="32"/>
        </w:rPr>
        <w:t xml:space="preserve">1 </w:t>
      </w:r>
      <w:r>
        <w:rPr>
          <w:rFonts w:hint="eastAsia" w:ascii="仿宋_GB2312" w:eastAsia="仿宋_GB2312"/>
          <w:sz w:val="32"/>
          <w:szCs w:val="32"/>
        </w:rPr>
        <w:t>电控系统故障诊断与排除模块竞赛工位布置图</w:t>
      </w:r>
    </w:p>
    <w:p>
      <w:pPr>
        <w:overflowPunct w:val="0"/>
        <w:autoSpaceDE w:val="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4791075" cy="3015615"/>
            <wp:effectExtent l="0" t="0" r="0" b="0"/>
            <wp:docPr id="8" name="图片 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8768" cy="301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overflowPunct w:val="0"/>
        <w:autoSpaceDE w:val="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图</w:t>
      </w:r>
      <w:r>
        <w:rPr>
          <w:rFonts w:ascii="仿宋_GB2312" w:eastAsia="仿宋_GB2312"/>
          <w:sz w:val="32"/>
          <w:szCs w:val="32"/>
        </w:rPr>
        <w:t xml:space="preserve">2  </w:t>
      </w:r>
      <w:r>
        <w:rPr>
          <w:rFonts w:hint="eastAsia" w:ascii="仿宋_GB2312" w:eastAsia="仿宋_GB2312"/>
          <w:sz w:val="32"/>
          <w:szCs w:val="32"/>
        </w:rPr>
        <w:t>电气故障诊断与排除模块竞赛工位布置图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竞赛场地每个工位占地面积</w:t>
      </w:r>
      <w:r>
        <w:rPr>
          <w:rFonts w:ascii="仿宋_GB2312" w:eastAsia="仿宋_GB2312"/>
          <w:sz w:val="32"/>
          <w:szCs w:val="32"/>
        </w:rPr>
        <w:t>50-70㎡，</w:t>
      </w:r>
      <w:r>
        <w:rPr>
          <w:rFonts w:hint="eastAsia" w:ascii="仿宋_GB2312" w:eastAsia="仿宋_GB2312"/>
          <w:sz w:val="32"/>
          <w:szCs w:val="32"/>
        </w:rPr>
        <w:t>“新能源商用车电控系统故障诊断与排除”“新能源商用车电气故障诊断与排除”两个模块竞赛场地提供稳定的电、气源，场地采光、照明和通风良好。赛场内安排有裁判休息区、监督仲裁室、专家室、评分裁判室、机要室、医疗室、隔离区、选手封闭室、卫生间等必要的区域；评分裁判室、裁判休息区、监督仲裁室、选手封闭区刚性隔离，配备志愿者，严禁外人进入；所有比赛工位用专用屏风隔离，避免相互影响；现场配备音响、摄像设备，以便有效组织赛场活动；现场配备有计时器，准确把控竞赛时间；赛场机要室钥匙由裁判长和监督仲裁组长分别保管，严禁外人进入。</w:t>
      </w:r>
    </w:p>
    <w:p>
      <w:pPr>
        <w:overflowPunct w:val="0"/>
        <w:autoSpaceDE w:val="0"/>
        <w:ind w:firstLine="640" w:firstLineChars="200"/>
        <w:rPr>
          <w:rFonts w:ascii="黑体" w:hAnsi="黑体" w:eastAsia="黑体"/>
          <w:sz w:val="32"/>
          <w:szCs w:val="32"/>
        </w:rPr>
      </w:pPr>
      <w:bookmarkStart w:id="9" w:name="_Toc76562818"/>
      <w:r>
        <w:rPr>
          <w:rFonts w:hint="eastAsia" w:ascii="黑体" w:hAnsi="黑体" w:eastAsia="黑体"/>
          <w:sz w:val="32"/>
          <w:szCs w:val="32"/>
        </w:rPr>
        <w:t>八、技术平台</w:t>
      </w:r>
      <w:bookmarkEnd w:id="9"/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bookmarkStart w:id="10" w:name="_Toc74844943"/>
      <w:bookmarkStart w:id="11" w:name="_Toc76461692"/>
      <w:bookmarkStart w:id="12" w:name="_Toc74410092"/>
      <w:r>
        <w:rPr>
          <w:rFonts w:hint="eastAsia" w:ascii="仿宋_GB2312" w:eastAsia="仿宋_GB2312"/>
          <w:sz w:val="32"/>
          <w:szCs w:val="32"/>
        </w:rPr>
        <w:t>竞赛平台采用相同指标的设备平台，工具、耗材统一提供。竞赛平台明细如下：</w:t>
      </w:r>
    </w:p>
    <w:bookmarkEnd w:id="10"/>
    <w:bookmarkEnd w:id="11"/>
    <w:bookmarkEnd w:id="12"/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bookmarkStart w:id="13" w:name="_Toc74410090"/>
      <w:bookmarkStart w:id="14" w:name="_Toc74844941"/>
      <w:bookmarkStart w:id="15" w:name="_Toc76461690"/>
      <w:r>
        <w:rPr>
          <w:rFonts w:hint="eastAsia" w:ascii="仿宋_GB2312" w:eastAsia="仿宋_GB2312"/>
          <w:sz w:val="32"/>
          <w:szCs w:val="32"/>
        </w:rPr>
        <w:t>（一）新能源商用车电控系统故障诊断</w:t>
      </w:r>
      <w:bookmarkEnd w:id="13"/>
      <w:r>
        <w:rPr>
          <w:rFonts w:hint="eastAsia" w:ascii="仿宋_GB2312" w:eastAsia="仿宋_GB2312"/>
          <w:sz w:val="32"/>
          <w:szCs w:val="32"/>
        </w:rPr>
        <w:t>与排除</w:t>
      </w:r>
      <w:bookmarkEnd w:id="14"/>
      <w:bookmarkEnd w:id="15"/>
    </w:p>
    <w:p>
      <w:pPr>
        <w:overflowPunct w:val="0"/>
        <w:autoSpaceDE w:val="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整车电控故障与排除设备、工具</w:t>
      </w:r>
    </w:p>
    <w:tbl>
      <w:tblPr>
        <w:tblStyle w:val="6"/>
        <w:tblW w:w="866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1"/>
        <w:gridCol w:w="3120"/>
        <w:gridCol w:w="2410"/>
        <w:gridCol w:w="567"/>
        <w:gridCol w:w="567"/>
        <w:gridCol w:w="141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tblHeader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名称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型号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潍柴新能源商用车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德龙K3000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赛场提供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128件汽车维修综合组套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09014G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套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赛场提供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全抛光两用扳手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40217（22mm）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把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赛场提供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全抛光两用扳手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40219（24mm）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把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赛场提供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6件T系列一字、十字螺丝批组套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09309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套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赛场提供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全抛光两用扳手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43221（6mm）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把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赛场提供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全抛光两用扳手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43222（7mm）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把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赛场提供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活动扳手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47205（12"）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把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赛场提供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综合故障诊断仪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潍柴智多星标准版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套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赛场提供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示波器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OTC3840C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套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赛场提供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万用表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通用型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块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赛场提供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带刃口剥线钳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把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赛场提供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绝缘电阻测试仪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FLUKE1508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套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赛场提供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高压测试组件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套装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套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赛场提供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低压测试组件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套装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套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赛场提供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回油测试组件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套装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套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赛场提供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整车维修手册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德龙K3000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套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赛场提供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整车电气电路图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德龙K3000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套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赛场提供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移动式尾气抽排机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移动式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赛场提供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手电筒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赛场提供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电胶布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赛场提供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抹布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纯棉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块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赛场提供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吸油纸工业擦拭布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赛场提供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绝缘手套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棉线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赛场提供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防护眼镜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透明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赛场提供</w:t>
            </w:r>
          </w:p>
        </w:tc>
      </w:tr>
    </w:tbl>
    <w:p>
      <w:pPr>
        <w:overflowPunct w:val="0"/>
        <w:autoSpaceDE w:val="0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bookmarkStart w:id="16" w:name="_Toc74410091"/>
      <w:bookmarkStart w:id="17" w:name="_Toc76461691"/>
      <w:bookmarkStart w:id="18" w:name="_Toc74844942"/>
      <w:r>
        <w:rPr>
          <w:rFonts w:hint="eastAsia" w:ascii="仿宋_GB2312" w:eastAsia="仿宋_GB2312"/>
          <w:sz w:val="32"/>
          <w:szCs w:val="32"/>
        </w:rPr>
        <w:t>（二）新能源商用车电气故障诊断与排除</w:t>
      </w:r>
      <w:bookmarkEnd w:id="16"/>
      <w:bookmarkEnd w:id="17"/>
      <w:bookmarkEnd w:id="18"/>
    </w:p>
    <w:p>
      <w:pPr>
        <w:overflowPunct w:val="0"/>
        <w:autoSpaceDE w:val="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所需设备及工具表</w:t>
      </w:r>
    </w:p>
    <w:tbl>
      <w:tblPr>
        <w:tblStyle w:val="6"/>
        <w:tblW w:w="866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1"/>
        <w:gridCol w:w="3080"/>
        <w:gridCol w:w="2410"/>
        <w:gridCol w:w="567"/>
        <w:gridCol w:w="567"/>
        <w:gridCol w:w="141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名称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型号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潍柴新能源商用车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德龙K3000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赛场提供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一体化工具车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赛场提供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数字万用表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通用型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块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赛场提供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电瓶快速充电机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通用型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套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赛场提供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故障诊断仪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潍柴智多星标准版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套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赛场提供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钳形电流表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块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赛场提供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绝缘电阻测试仪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FLUKE1508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套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赛场提供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电烙铁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03240（60W）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套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赛场提供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柔性磁性捡拾器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64101(400mmx1kg)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赛场提供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博世208接线盒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208接线盒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套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赛场提供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带刃口剥线钳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把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赛场提供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尖嘴钳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把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赛场提供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斜嘴钳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把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赛场提供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整车维修手册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德龙K3000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套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赛场提供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整车电气电路图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德龙K3000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套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赛场提供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带胶皮的工作台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赛场提供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电工绝缘胶布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赛场提供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导线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米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赛场提供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抹布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斤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赛场提供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焊锡膏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盒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赛场提供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锡焊丝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赛场提供</w:t>
            </w:r>
          </w:p>
        </w:tc>
      </w:tr>
    </w:tbl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（四）选手自带工具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符合职业标准的劳动保护用品，如：绝缘鞋、工作帽、耳塞、防目镜等。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（五）比赛相关的技术资料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1.潍柴新能源商用车轻卡维修手册；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2.潍柴新能源商用车电路图。</w:t>
      </w:r>
    </w:p>
    <w:p>
      <w:pPr>
        <w:overflowPunct w:val="0"/>
        <w:autoSpaceDE w:val="0"/>
        <w:ind w:firstLine="640" w:firstLineChars="200"/>
        <w:rPr>
          <w:rFonts w:ascii="黑体" w:hAnsi="黑体" w:eastAsia="黑体"/>
          <w:sz w:val="32"/>
          <w:szCs w:val="32"/>
        </w:rPr>
      </w:pPr>
      <w:bookmarkStart w:id="19" w:name="_Toc76562819"/>
      <w:r>
        <w:rPr>
          <w:rFonts w:hint="eastAsia" w:ascii="黑体" w:hAnsi="黑体" w:eastAsia="黑体"/>
          <w:sz w:val="32"/>
          <w:szCs w:val="32"/>
        </w:rPr>
        <w:t>九、成绩评定</w:t>
      </w:r>
      <w:bookmarkEnd w:id="19"/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bookmarkStart w:id="20" w:name="_Toc76461683"/>
      <w:bookmarkStart w:id="21" w:name="_Toc74844933"/>
      <w:bookmarkStart w:id="22" w:name="_Toc74410082"/>
      <w:r>
        <w:rPr>
          <w:rFonts w:hint="eastAsia" w:ascii="仿宋_GB2312" w:eastAsia="仿宋_GB2312"/>
          <w:sz w:val="32"/>
          <w:szCs w:val="32"/>
        </w:rPr>
        <w:t>（一）评分</w:t>
      </w:r>
      <w:bookmarkEnd w:id="20"/>
      <w:bookmarkEnd w:id="21"/>
      <w:bookmarkEnd w:id="22"/>
      <w:r>
        <w:rPr>
          <w:rFonts w:hint="eastAsia" w:ascii="仿宋_GB2312" w:eastAsia="仿宋_GB2312"/>
          <w:sz w:val="32"/>
          <w:szCs w:val="32"/>
        </w:rPr>
        <w:t>标准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bookmarkStart w:id="23" w:name="_Toc76461684"/>
      <w:bookmarkStart w:id="24" w:name="_Toc74410083"/>
      <w:bookmarkStart w:id="25" w:name="_Toc74844934"/>
      <w:r>
        <w:rPr>
          <w:rFonts w:ascii="仿宋_GB2312" w:eastAsia="仿宋_GB2312"/>
          <w:sz w:val="32"/>
          <w:szCs w:val="32"/>
        </w:rPr>
        <w:t>1.评分标准的制订原则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赛项裁判组负责赛项成绩评定工作。评分标准以“公平、公正、公开”为原则，采用过程评分和结果评分两种方式。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2.组织分工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成立由检录组、裁判组、监督仲裁组组成的成绩管理组织机构。要求裁判人员的类别来自汽车维修企业、从事汽车维修岗位及汽车维修教学。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具体要求与分工如下：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1）检录工作人员负责对参赛选手进行点名登记、身份核对等工作。检录</w:t>
      </w:r>
      <w:r>
        <w:rPr>
          <w:rFonts w:hint="eastAsia" w:ascii="仿宋_GB2312" w:eastAsia="仿宋_GB2312"/>
          <w:sz w:val="32"/>
          <w:szCs w:val="32"/>
        </w:rPr>
        <w:t>工作由赛项承办院校工作人员承担。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2）裁判组实行“裁判长负责制”，全面负责赛项的裁判管理工作并处理</w:t>
      </w:r>
      <w:r>
        <w:rPr>
          <w:rFonts w:hint="eastAsia" w:ascii="仿宋_GB2312" w:eastAsia="仿宋_GB2312"/>
          <w:sz w:val="32"/>
          <w:szCs w:val="32"/>
        </w:rPr>
        <w:t>比赛中出现的争议问题。负责组织比赛，对竞赛模块的试题与评分标准认真领会并向裁判培训解释。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3）裁判报到后实行封闭管理。每天比赛前1 小时通过抽签方式，初步确</w:t>
      </w:r>
      <w:r>
        <w:rPr>
          <w:rFonts w:hint="eastAsia" w:ascii="仿宋_GB2312" w:eastAsia="仿宋_GB2312"/>
          <w:sz w:val="32"/>
          <w:szCs w:val="32"/>
        </w:rPr>
        <w:t>定裁判执裁工位，裁判不能执裁同单位（同院校）参赛队。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4）裁判员根据比赛需要分为加密裁判、现场裁判、评分裁判。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加密裁判：负责组织参赛选手抽签，对参赛队信息、抽签号等进行加密；加密裁判不得参与评分、统分和核分工作。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现场裁判：按规定做好赛场记录，维护赛场纪律，评判参赛选手的现场作业情况。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评分裁判：负责对参赛选手的作业表按赛项评分标准进行评定，并负责核分和统分工作。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5）监督仲裁组对裁判组的工作进行全程监督，并对竞赛成绩抽检复核；</w:t>
      </w:r>
      <w:r>
        <w:rPr>
          <w:rFonts w:hint="eastAsia" w:ascii="仿宋_GB2312" w:eastAsia="仿宋_GB2312"/>
          <w:sz w:val="32"/>
          <w:szCs w:val="32"/>
        </w:rPr>
        <w:t>接受由参赛队领队提出的对裁判结果的申诉，组织复议并及时反馈复议结果。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3.成绩管理程序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严禁参赛选手、赛项裁判、专家组成员、工作人员私自携带通讯、摄录设备进入比赛场地。如有需要，由赛项统一配置、统一管理。赛场可根据需要配置安检设备，对进入赛场重要部位的人员进行安检，可在赛场相关区域安置无线信息屏蔽设备。赛项裁判应在检录前与参赛选手隔离。参赛选手的成绩评定与管理按照严密的程序进行，见成绩管理流程图</w:t>
      </w:r>
      <w:r>
        <w:rPr>
          <w:rFonts w:ascii="仿宋_GB2312" w:eastAsia="仿宋_GB2312"/>
          <w:sz w:val="32"/>
          <w:szCs w:val="32"/>
        </w:rPr>
        <w:t>3。</w:t>
      </w:r>
    </w:p>
    <w:p>
      <w:pPr>
        <w:overflowPunct w:val="0"/>
        <w:autoSpaceDE w:val="0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273040" cy="3053080"/>
            <wp:effectExtent l="0" t="0" r="0" b="0"/>
            <wp:docPr id="10" name="图片 1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4668" cy="305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overflowPunct w:val="0"/>
        <w:autoSpaceDE w:val="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图</w:t>
      </w:r>
      <w:r>
        <w:rPr>
          <w:rFonts w:ascii="仿宋_GB2312" w:eastAsia="仿宋_GB2312"/>
          <w:sz w:val="32"/>
          <w:szCs w:val="32"/>
        </w:rPr>
        <w:t xml:space="preserve">3  </w:t>
      </w:r>
      <w:r>
        <w:rPr>
          <w:rFonts w:hint="eastAsia" w:ascii="仿宋_GB2312" w:eastAsia="仿宋_GB2312"/>
          <w:sz w:val="32"/>
          <w:szCs w:val="32"/>
        </w:rPr>
        <w:t>成绩管理流程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4.成绩评分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1）过程评判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现场裁判依据现场评判表，对参赛选手竞赛过程的人物安全、设备使用、操作规范、职业素养进行评判。评判结果由现场执裁裁判员签字确认。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2）结果评分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评分裁判根据现场评判表、参赛选手提交的作业单，依据评分标准进行评分、统分和核分。评分结果由评分裁判员、统分和核分裁判员签字确认。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3）解密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在监督仲裁组监督下，由裁判长指定解密裁判启封检录抽签一次加密档案、二次加密档案，找出各参赛队与场次工位对应关系；将竞赛结果分别由场次工位号转换为参赛队，然后进行分值排序，打印封装。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4）总成绩排序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总成绩为二个竞赛模块成绩之和。按总成绩由高到低排序，总成绩相同，则以二个实操项目总用时短的名次在前。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5）抽检复核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为保障成绩统计的准确性，监督仲裁组对赛项总成绩排名前</w:t>
      </w:r>
      <w:r>
        <w:rPr>
          <w:rFonts w:ascii="仿宋_GB2312" w:eastAsia="仿宋_GB2312"/>
          <w:sz w:val="32"/>
          <w:szCs w:val="32"/>
        </w:rPr>
        <w:t>30%的所有参赛</w:t>
      </w:r>
      <w:r>
        <w:rPr>
          <w:rFonts w:hint="eastAsia" w:ascii="仿宋_GB2312" w:eastAsia="仿宋_GB2312"/>
          <w:sz w:val="32"/>
          <w:szCs w:val="32"/>
        </w:rPr>
        <w:t>队伍的成绩进行复核；对其余成绩进行抽检复核，抽检覆盖率不得低于</w:t>
      </w:r>
      <w:r>
        <w:rPr>
          <w:rFonts w:ascii="仿宋_GB2312" w:eastAsia="仿宋_GB2312"/>
          <w:sz w:val="32"/>
          <w:szCs w:val="32"/>
        </w:rPr>
        <w:t>15%。监</w:t>
      </w:r>
      <w:r>
        <w:rPr>
          <w:rFonts w:hint="eastAsia" w:ascii="仿宋_GB2312" w:eastAsia="仿宋_GB2312"/>
          <w:sz w:val="32"/>
          <w:szCs w:val="32"/>
        </w:rPr>
        <w:t>督仲裁组将复检中发现的错误通过书面方式及时告知裁判长，由裁判长更正成绩并签字确认。错误率超过</w:t>
      </w:r>
      <w:r>
        <w:rPr>
          <w:rFonts w:ascii="仿宋_GB2312" w:eastAsia="仿宋_GB2312"/>
          <w:sz w:val="32"/>
          <w:szCs w:val="32"/>
        </w:rPr>
        <w:t>5%的，则认定为非小概率事件，裁判组需对所有成</w:t>
      </w:r>
      <w:r>
        <w:rPr>
          <w:rFonts w:hint="eastAsia" w:ascii="仿宋_GB2312" w:eastAsia="仿宋_GB2312"/>
          <w:sz w:val="32"/>
          <w:szCs w:val="32"/>
        </w:rPr>
        <w:t>绩进行复核。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5.成绩公布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1）公示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所有竞赛结束后记分员将解密后的各参赛队成绩汇总成最终成</w:t>
      </w:r>
      <w:r>
        <w:rPr>
          <w:rFonts w:hint="eastAsia" w:ascii="仿宋_GB2312" w:eastAsia="仿宋_GB2312"/>
          <w:sz w:val="32"/>
          <w:szCs w:val="32"/>
        </w:rPr>
        <w:t>绩单，经裁判长、监督仲裁组组长签字后进行公示。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2）录入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成绩公示2 小时无异议后，由赛务信息员将赛项总成绩的最终</w:t>
      </w:r>
      <w:r>
        <w:rPr>
          <w:rFonts w:hint="eastAsia" w:ascii="仿宋_GB2312" w:eastAsia="仿宋_GB2312"/>
          <w:sz w:val="32"/>
          <w:szCs w:val="32"/>
        </w:rPr>
        <w:t>结果录入赛务系统。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3）审核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赛务信息员对成绩数据审核后，将赛务系统中录入的成绩导出</w:t>
      </w:r>
      <w:r>
        <w:rPr>
          <w:rFonts w:hint="eastAsia" w:ascii="仿宋_GB2312" w:eastAsia="仿宋_GB2312"/>
          <w:sz w:val="32"/>
          <w:szCs w:val="32"/>
        </w:rPr>
        <w:t>打印，经裁判长、监督仲裁组组长审核签字。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4）公布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由裁判长在闭幕式上宣布最终竞赛成绩。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5）报送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由赛务信息员将签字的纸质打印成绩单报送大赛</w:t>
      </w:r>
      <w:r>
        <w:rPr>
          <w:rFonts w:hint="eastAsia" w:ascii="仿宋_GB2312" w:eastAsia="仿宋_GB2312"/>
          <w:sz w:val="32"/>
          <w:szCs w:val="32"/>
        </w:rPr>
        <w:t>组委会办公室。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bookmarkEnd w:id="23"/>
      <w:bookmarkEnd w:id="24"/>
      <w:bookmarkEnd w:id="25"/>
      <w:r>
        <w:rPr>
          <w:rFonts w:hint="eastAsia" w:ascii="仿宋_GB2312" w:eastAsia="仿宋_GB2312"/>
          <w:sz w:val="32"/>
          <w:szCs w:val="32"/>
        </w:rPr>
        <w:t>配分规则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bookmarkStart w:id="26" w:name="_Toc76461685"/>
      <w:bookmarkStart w:id="27" w:name="_Toc74844935"/>
      <w:bookmarkStart w:id="28" w:name="_Toc74410084"/>
      <w:r>
        <w:rPr>
          <w:rFonts w:hint="eastAsia" w:ascii="仿宋_GB2312" w:eastAsia="仿宋_GB2312"/>
          <w:sz w:val="32"/>
          <w:szCs w:val="32"/>
        </w:rPr>
        <w:t>各竞赛模块配分规则见表5</w:t>
      </w:r>
    </w:p>
    <w:p>
      <w:pPr>
        <w:overflowPunct w:val="0"/>
        <w:autoSpaceDE w:val="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表5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各竞赛模块配分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48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评分项目</w:t>
            </w:r>
          </w:p>
        </w:tc>
        <w:tc>
          <w:tcPr>
            <w:tcW w:w="4148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配分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48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安全与环保</w:t>
            </w:r>
          </w:p>
        </w:tc>
        <w:tc>
          <w:tcPr>
            <w:tcW w:w="4148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hint="eastAsia" w:ascii="仿宋_GB2312" w:eastAsia="仿宋_GB2312"/>
                <w:sz w:val="32"/>
                <w:szCs w:val="32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48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作业过程与记录</w:t>
            </w:r>
          </w:p>
        </w:tc>
        <w:tc>
          <w:tcPr>
            <w:tcW w:w="4148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hint="eastAsia" w:ascii="仿宋_GB2312" w:eastAsia="仿宋_GB2312"/>
                <w:sz w:val="32"/>
                <w:szCs w:val="32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48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合计</w:t>
            </w:r>
          </w:p>
        </w:tc>
        <w:tc>
          <w:tcPr>
            <w:tcW w:w="4148" w:type="dxa"/>
            <w:vAlign w:val="center"/>
          </w:tcPr>
          <w:p>
            <w:pPr>
              <w:overflowPunct w:val="0"/>
              <w:autoSpaceDE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00</w:t>
            </w:r>
            <w:r>
              <w:rPr>
                <w:rFonts w:hint="eastAsia" w:ascii="仿宋_GB2312" w:eastAsia="仿宋_GB2312"/>
                <w:sz w:val="32"/>
                <w:szCs w:val="32"/>
              </w:rPr>
              <w:t>分</w:t>
            </w:r>
          </w:p>
        </w:tc>
      </w:tr>
    </w:tbl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</w:t>
      </w:r>
      <w:bookmarkEnd w:id="26"/>
      <w:bookmarkEnd w:id="27"/>
      <w:bookmarkEnd w:id="28"/>
      <w:r>
        <w:rPr>
          <w:rFonts w:hint="eastAsia" w:ascii="仿宋_GB2312" w:eastAsia="仿宋_GB2312"/>
          <w:sz w:val="32"/>
          <w:szCs w:val="32"/>
        </w:rPr>
        <w:t>违规扣分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1.在完成工作任务的过程中，因操作不当导致人身或设备安全事故扣10分，</w:t>
      </w:r>
      <w:r>
        <w:rPr>
          <w:rFonts w:hint="eastAsia" w:ascii="仿宋_GB2312" w:eastAsia="仿宋_GB2312"/>
          <w:sz w:val="32"/>
          <w:szCs w:val="32"/>
        </w:rPr>
        <w:t>直至取消比赛资格。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2.损坏赛场提供的设备，污染赛场环境等不符合职业规范的行为扣5分。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3.在竞赛时段，参赛选手有不服从裁判扰乱赛场秩序、有作弊行为的、裁</w:t>
      </w:r>
      <w:r>
        <w:rPr>
          <w:rFonts w:hint="eastAsia" w:ascii="仿宋_GB2312" w:eastAsia="仿宋_GB2312"/>
          <w:sz w:val="32"/>
          <w:szCs w:val="32"/>
        </w:rPr>
        <w:t>判宣布竞赛时间到仍强行操作的，取消参赛队奖项评比资格。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4.选手报告单上留有不应有的标识、符号、文字，扣5分。</w:t>
      </w:r>
    </w:p>
    <w:p>
      <w:pPr>
        <w:overflowPunct w:val="0"/>
        <w:autoSpaceDE w:val="0"/>
        <w:ind w:firstLine="640" w:firstLineChars="200"/>
        <w:rPr>
          <w:rFonts w:ascii="黑体" w:hAnsi="黑体" w:eastAsia="黑体"/>
          <w:sz w:val="32"/>
          <w:szCs w:val="32"/>
        </w:rPr>
      </w:pPr>
      <w:bookmarkStart w:id="29" w:name="_Toc76562820"/>
      <w:r>
        <w:rPr>
          <w:rFonts w:hint="eastAsia" w:ascii="黑体" w:hAnsi="黑体" w:eastAsia="黑体"/>
          <w:sz w:val="32"/>
          <w:szCs w:val="32"/>
        </w:rPr>
        <w:t>十、奖项设定</w:t>
      </w:r>
      <w:bookmarkEnd w:id="29"/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bookmarkStart w:id="30" w:name="_Toc76562821"/>
      <w:r>
        <w:rPr>
          <w:rFonts w:hint="eastAsia" w:ascii="仿宋_GB2312" w:eastAsia="仿宋_GB2312"/>
          <w:sz w:val="32"/>
          <w:szCs w:val="32"/>
        </w:rPr>
        <w:t>以赛项实际参赛队总数为基数，竞赛设一、二、三等奖，获奖比例分别占参赛选手人数的10%、20%、30%。</w:t>
      </w:r>
    </w:p>
    <w:p>
      <w:pPr>
        <w:overflowPunct w:val="0"/>
        <w:autoSpaceDE w:val="0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十一、赛场预案</w:t>
      </w:r>
      <w:bookmarkEnd w:id="30"/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1.赛场配备技术人员，当车辆、设备等出现问题时，技术人员可第一时间</w:t>
      </w:r>
      <w:r>
        <w:rPr>
          <w:rFonts w:hint="eastAsia" w:ascii="仿宋_GB2312" w:eastAsia="仿宋_GB2312"/>
          <w:sz w:val="32"/>
          <w:szCs w:val="32"/>
        </w:rPr>
        <w:t>提供专业技术支持。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2.竞赛现场配置安全通道，当出现火情或其他灾害情况，工作人员应立即</w:t>
      </w:r>
      <w:r>
        <w:rPr>
          <w:rFonts w:hint="eastAsia" w:ascii="仿宋_GB2312" w:eastAsia="仿宋_GB2312"/>
          <w:sz w:val="32"/>
          <w:szCs w:val="32"/>
        </w:rPr>
        <w:t>向保卫组汇报，保卫组接报后要火速到达现场并配合消防队员和公安干警，指挥人员疏散到安全区域并及时处置现场状况。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3.竞赛过程中出现设备断电、故障等意外时，现场裁判需及时确认情况，</w:t>
      </w:r>
      <w:r>
        <w:rPr>
          <w:rFonts w:hint="eastAsia" w:ascii="仿宋_GB2312" w:eastAsia="仿宋_GB2312"/>
          <w:sz w:val="32"/>
          <w:szCs w:val="32"/>
        </w:rPr>
        <w:t>安排技术支持人员进行处理，现场裁判登记详细情况，填写补时登记表，报裁判长批准后，可安排延长补足相应选手的比赛时间。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4.赛场</w:t>
      </w:r>
      <w:r>
        <w:rPr>
          <w:rFonts w:hint="eastAsia" w:ascii="仿宋_GB2312" w:eastAsia="仿宋_GB2312"/>
          <w:sz w:val="32"/>
          <w:szCs w:val="32"/>
        </w:rPr>
        <w:t>各竞赛模块</w:t>
      </w:r>
      <w:r>
        <w:rPr>
          <w:rFonts w:ascii="仿宋_GB2312" w:eastAsia="仿宋_GB2312"/>
          <w:sz w:val="32"/>
          <w:szCs w:val="32"/>
        </w:rPr>
        <w:t>布置1个备用工位，与其他竞赛工位间隔至少1个工位的宽度布置。</w:t>
      </w:r>
      <w:r>
        <w:rPr>
          <w:rFonts w:hint="eastAsia" w:ascii="仿宋_GB2312" w:eastAsia="仿宋_GB2312"/>
          <w:sz w:val="32"/>
          <w:szCs w:val="32"/>
        </w:rPr>
        <w:t>当出现非选手原因设备断电、故障等意外时，经现场裁判认可，裁判长确认予以安排备用工位进行比赛。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5.赛场设有应急医疗点</w:t>
      </w:r>
      <w:r>
        <w:rPr>
          <w:rFonts w:hint="eastAsia" w:ascii="仿宋_GB2312" w:eastAsia="仿宋_GB2312"/>
          <w:sz w:val="32"/>
          <w:szCs w:val="32"/>
        </w:rPr>
        <w:t>和防疫隔离区</w:t>
      </w:r>
      <w:r>
        <w:rPr>
          <w:rFonts w:ascii="仿宋_GB2312" w:eastAsia="仿宋_GB2312"/>
          <w:sz w:val="32"/>
          <w:szCs w:val="32"/>
        </w:rPr>
        <w:t>，用于参赛选手突发身体不适（如发热、咳嗽等）</w:t>
      </w:r>
      <w:r>
        <w:rPr>
          <w:rFonts w:hint="eastAsia" w:ascii="仿宋_GB2312" w:eastAsia="仿宋_GB2312"/>
          <w:sz w:val="32"/>
          <w:szCs w:val="32"/>
        </w:rPr>
        <w:t>或出现碰伤、划伤等意外情况的应急处理；如应急医疗点诊断参赛选手可以继续比赛的，经裁判长确认予以安排原工位或备用工位进行比赛。如参赛选手不能继续参加比赛的，必要时可联系</w:t>
      </w:r>
      <w:r>
        <w:rPr>
          <w:rFonts w:ascii="仿宋_GB2312" w:eastAsia="仿宋_GB2312"/>
          <w:sz w:val="32"/>
          <w:szCs w:val="32"/>
        </w:rPr>
        <w:t>120急救车。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6.比赛期间发生意外事故，发现者应第一时间报告赛项</w:t>
      </w:r>
      <w:r>
        <w:rPr>
          <w:rFonts w:hint="eastAsia" w:ascii="仿宋_GB2312" w:eastAsia="仿宋_GB2312"/>
          <w:sz w:val="32"/>
          <w:szCs w:val="32"/>
        </w:rPr>
        <w:t>组</w:t>
      </w:r>
      <w:r>
        <w:rPr>
          <w:rFonts w:ascii="仿宋_GB2312" w:eastAsia="仿宋_GB2312"/>
          <w:sz w:val="32"/>
          <w:szCs w:val="32"/>
        </w:rPr>
        <w:t>委会</w:t>
      </w:r>
      <w:r>
        <w:rPr>
          <w:rFonts w:hint="eastAsia" w:ascii="仿宋_GB2312" w:eastAsia="仿宋_GB2312"/>
          <w:sz w:val="32"/>
          <w:szCs w:val="32"/>
        </w:rPr>
        <w:t>办公室</w:t>
      </w:r>
      <w:r>
        <w:rPr>
          <w:rFonts w:ascii="仿宋_GB2312" w:eastAsia="仿宋_GB2312"/>
          <w:sz w:val="32"/>
          <w:szCs w:val="32"/>
        </w:rPr>
        <w:t>，同时采取</w:t>
      </w:r>
      <w:r>
        <w:rPr>
          <w:rFonts w:hint="eastAsia" w:ascii="仿宋_GB2312" w:eastAsia="仿宋_GB2312"/>
          <w:sz w:val="32"/>
          <w:szCs w:val="32"/>
        </w:rPr>
        <w:t>措施避免事态扩大。赛项出现重大安全问题可以停赛，是否停赛由赛区组委会决定。</w:t>
      </w:r>
    </w:p>
    <w:p>
      <w:pPr>
        <w:overflowPunct w:val="0"/>
        <w:autoSpaceDE w:val="0"/>
        <w:ind w:firstLine="640" w:firstLineChars="200"/>
        <w:rPr>
          <w:rFonts w:ascii="黑体" w:hAnsi="黑体" w:eastAsia="黑体"/>
          <w:sz w:val="32"/>
          <w:szCs w:val="32"/>
        </w:rPr>
      </w:pPr>
      <w:bookmarkStart w:id="31" w:name="_Toc76562822"/>
      <w:r>
        <w:rPr>
          <w:rFonts w:hint="eastAsia" w:ascii="黑体" w:hAnsi="黑体" w:eastAsia="黑体"/>
          <w:sz w:val="32"/>
          <w:szCs w:val="32"/>
        </w:rPr>
        <w:t>十二、赛项安全</w:t>
      </w:r>
      <w:bookmarkEnd w:id="31"/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赛项安全是一切工作顺利开展的先决条件，是赛项筹备和运行工作必须考虑的核心问题。赛项组委会采取切实有效措施保证大赛期间参赛选手、指导教师、工作人员等人员的人身安全。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（一）比赛环境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组</w:t>
      </w:r>
      <w:r>
        <w:rPr>
          <w:rFonts w:ascii="仿宋_GB2312" w:eastAsia="仿宋_GB2312"/>
          <w:sz w:val="32"/>
          <w:szCs w:val="32"/>
        </w:rPr>
        <w:t>委会</w:t>
      </w:r>
      <w:r>
        <w:rPr>
          <w:rFonts w:hint="eastAsia" w:ascii="仿宋_GB2312" w:eastAsia="仿宋_GB2312"/>
          <w:sz w:val="32"/>
          <w:szCs w:val="32"/>
        </w:rPr>
        <w:t>办公室</w:t>
      </w:r>
      <w:r>
        <w:rPr>
          <w:rFonts w:ascii="仿宋_GB2312" w:eastAsia="仿宋_GB2312"/>
          <w:sz w:val="32"/>
          <w:szCs w:val="32"/>
        </w:rPr>
        <w:t>须在赛前组织专人对比赛现场、住宿场所和交通保障进行考察，</w:t>
      </w:r>
      <w:r>
        <w:rPr>
          <w:rFonts w:hint="eastAsia" w:ascii="仿宋_GB2312" w:eastAsia="仿宋_GB2312"/>
          <w:sz w:val="32"/>
          <w:szCs w:val="32"/>
        </w:rPr>
        <w:t>并对安全工作提出明确要求。赛场的布置，赛场内的器材、设备应符合国家有关安全规定。赛前进行赛场全负荷模拟测试，以发现可能出现的问题，及时排除安全隐患。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2.赛场周围要设立警戒线，无关人员不得进入。比赛现场内应参照相关职</w:t>
      </w:r>
      <w:r>
        <w:rPr>
          <w:rFonts w:hint="eastAsia" w:ascii="仿宋_GB2312" w:eastAsia="仿宋_GB2312"/>
          <w:sz w:val="32"/>
          <w:szCs w:val="32"/>
        </w:rPr>
        <w:t>业岗位的要求为选手提供必要的劳动保护。在具有危险性的操作环节，裁判员要严防选手出现错误操作。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3.承办单位必须制定管理方案、人员疏导方案和应急预案。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4.参赛选手、赛项裁判、工作人员进入赛场区域内，严禁携带通讯、照相</w:t>
      </w:r>
      <w:r>
        <w:rPr>
          <w:rFonts w:hint="eastAsia" w:ascii="仿宋_GB2312" w:eastAsia="仿宋_GB2312"/>
          <w:sz w:val="32"/>
          <w:szCs w:val="32"/>
        </w:rPr>
        <w:t>摄录设备、记录用具。赛项需要配置安检设备对进入赛场人员进行安检。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5.赛项工位、监督仲裁室、评分室需要配置高清摄像，对赛事比赛时间段</w:t>
      </w:r>
      <w:r>
        <w:rPr>
          <w:rFonts w:hint="eastAsia" w:ascii="仿宋_GB2312" w:eastAsia="仿宋_GB2312"/>
          <w:sz w:val="32"/>
          <w:szCs w:val="32"/>
        </w:rPr>
        <w:t>进行全程录像。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（二）处罚措施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1.参赛队伍有发生重大安全事故隐患，经赛场工作人员提示、警告无效的，</w:t>
      </w:r>
      <w:r>
        <w:rPr>
          <w:rFonts w:hint="eastAsia" w:ascii="仿宋_GB2312" w:eastAsia="仿宋_GB2312"/>
          <w:sz w:val="32"/>
          <w:szCs w:val="32"/>
        </w:rPr>
        <w:t>可取消其继续比赛的资格。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.赛事工作人员违规的，按照相应的制度追究责任。情节恶劣并造成重大</w:t>
      </w:r>
      <w:r>
        <w:rPr>
          <w:rFonts w:hint="eastAsia" w:ascii="仿宋_GB2312" w:eastAsia="仿宋_GB2312"/>
          <w:sz w:val="32"/>
          <w:szCs w:val="32"/>
        </w:rPr>
        <w:t>安全事故的，由司法机关追究相应法律责任。</w:t>
      </w:r>
    </w:p>
    <w:p>
      <w:pPr>
        <w:overflowPunct w:val="0"/>
        <w:autoSpaceDE w:val="0"/>
        <w:ind w:firstLine="640" w:firstLineChars="200"/>
        <w:rPr>
          <w:rFonts w:ascii="黑体" w:hAnsi="黑体" w:eastAsia="黑体"/>
          <w:sz w:val="32"/>
          <w:szCs w:val="32"/>
        </w:rPr>
      </w:pPr>
      <w:bookmarkStart w:id="32" w:name="_Toc76562823"/>
      <w:r>
        <w:rPr>
          <w:rFonts w:hint="eastAsia" w:ascii="黑体" w:hAnsi="黑体" w:eastAsia="黑体"/>
          <w:sz w:val="32"/>
          <w:szCs w:val="32"/>
        </w:rPr>
        <w:t>十三、赛项须知</w:t>
      </w:r>
      <w:bookmarkEnd w:id="32"/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（一）参赛队须知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1.各参赛队须为参赛选手购买大赛期间的人身意外伤害保险。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2.各参赛队须对参赛选手、指导教师、领队进行安全管理和维稳教育，在</w:t>
      </w:r>
      <w:r>
        <w:rPr>
          <w:rFonts w:hint="eastAsia" w:ascii="仿宋_GB2312" w:eastAsia="仿宋_GB2312"/>
          <w:sz w:val="32"/>
          <w:szCs w:val="32"/>
        </w:rPr>
        <w:t>比赛期间需保持通信畅通。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3.对申诉的仲裁结果，领队和指导教师应带头服从和执行，还应说服参赛</w:t>
      </w:r>
      <w:r>
        <w:rPr>
          <w:rFonts w:hint="eastAsia" w:ascii="仿宋_GB2312" w:eastAsia="仿宋_GB2312"/>
          <w:sz w:val="32"/>
          <w:szCs w:val="32"/>
        </w:rPr>
        <w:t>选手服从和执行。凡恶意申诉，一经查实，组委会将追查相关人员责任。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4.领队负责做好本参赛队比赛期间的管理与组织工作。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5.执行大赛各项规定。各参赛队领队、指导教师在比赛前和比赛期间不允</w:t>
      </w:r>
      <w:r>
        <w:rPr>
          <w:rFonts w:hint="eastAsia" w:ascii="仿宋_GB2312" w:eastAsia="仿宋_GB2312"/>
          <w:sz w:val="32"/>
          <w:szCs w:val="32"/>
        </w:rPr>
        <w:t>许私自接触裁判，不得以任何形式影响裁判人员的评判。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6.指定一名领队或指导教师准时参加赛前领队会议，进行抽签确定竞赛当</w:t>
      </w:r>
      <w:r>
        <w:rPr>
          <w:rFonts w:hint="eastAsia" w:ascii="仿宋_GB2312" w:eastAsia="仿宋_GB2312"/>
          <w:sz w:val="32"/>
          <w:szCs w:val="32"/>
        </w:rPr>
        <w:t>日抽签顺序，并认真传达落实会议精神。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（二）指导教师须知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1.指导教师经报名、审核后确定，一经确定不得更换，如需更换，须由各</w:t>
      </w:r>
      <w:r>
        <w:rPr>
          <w:rFonts w:hint="eastAsia" w:ascii="仿宋_GB2312" w:eastAsia="仿宋_GB2312"/>
          <w:sz w:val="32"/>
          <w:szCs w:val="32"/>
        </w:rPr>
        <w:t>地区代表队行政部门于相应赛项开赛5</w:t>
      </w:r>
      <w:r>
        <w:rPr>
          <w:rFonts w:ascii="仿宋_GB2312" w:eastAsia="仿宋_GB2312"/>
          <w:sz w:val="32"/>
          <w:szCs w:val="32"/>
        </w:rPr>
        <w:t>个工作日之前出具书面说明并按相关规</w:t>
      </w:r>
      <w:r>
        <w:rPr>
          <w:rFonts w:hint="eastAsia" w:ascii="仿宋_GB2312" w:eastAsia="仿宋_GB2312"/>
          <w:sz w:val="32"/>
          <w:szCs w:val="32"/>
        </w:rPr>
        <w:t>定补充人员并接受审核。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2.各代表队指导教师要坚决执行比赛的各项规定，指导选手做好赛前的一</w:t>
      </w:r>
      <w:r>
        <w:rPr>
          <w:rFonts w:hint="eastAsia" w:ascii="仿宋_GB2312" w:eastAsia="仿宋_GB2312"/>
          <w:sz w:val="32"/>
          <w:szCs w:val="32"/>
        </w:rPr>
        <w:t>切准备工作，不得以任何理由影响比赛正常进行。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3.对申诉的仲裁结果，指导教师应带头服从和执行，还应说服选手服从和</w:t>
      </w:r>
      <w:r>
        <w:rPr>
          <w:rFonts w:hint="eastAsia" w:ascii="仿宋_GB2312" w:eastAsia="仿宋_GB2312"/>
          <w:sz w:val="32"/>
          <w:szCs w:val="32"/>
        </w:rPr>
        <w:t>执行。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4.指导教师应认真研究和掌握本赛项比赛的竞赛规程和赛场要求，对参赛</w:t>
      </w:r>
      <w:r>
        <w:rPr>
          <w:rFonts w:hint="eastAsia" w:ascii="仿宋_GB2312" w:eastAsia="仿宋_GB2312"/>
          <w:sz w:val="32"/>
          <w:szCs w:val="32"/>
        </w:rPr>
        <w:t>选手做好安全和纪律教育。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（三）参赛选手须知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1.参赛选手应严格遵守竞赛规则和竞赛纪律，服从裁判员和竞赛工作人员</w:t>
      </w:r>
      <w:r>
        <w:rPr>
          <w:rFonts w:hint="eastAsia" w:ascii="仿宋_GB2312" w:eastAsia="仿宋_GB2312"/>
          <w:sz w:val="32"/>
          <w:szCs w:val="32"/>
        </w:rPr>
        <w:t>的统一指挥安排，自觉维护赛场秩序，不得因申诉或对处理意见不服而停止竞赛，否则以弃权处理。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2.参赛选手须文明竞赛，接受裁判的监督和警示。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3.参赛选手必须持本人身份证、并佩戴组委会签发的参赛证件；在赛前60</w:t>
      </w:r>
      <w:r>
        <w:rPr>
          <w:rFonts w:hint="eastAsia" w:ascii="仿宋_GB2312" w:eastAsia="仿宋_GB2312"/>
          <w:sz w:val="32"/>
          <w:szCs w:val="32"/>
        </w:rPr>
        <w:t>分钟到达赛场进行检录、抽取赛位号，进行赛前准备，等候比赛开始指令。正式竞赛开始尚未检录的选手，不得参加竞赛。已检录入场的参赛选手未经允许，不得擅自离开。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4.选手进入赛场不得携带任何纸质资料、通讯工具、电子书、存储设备、</w:t>
      </w:r>
      <w:r>
        <w:rPr>
          <w:rFonts w:hint="eastAsia" w:ascii="仿宋_GB2312" w:eastAsia="仿宋_GB2312"/>
          <w:sz w:val="32"/>
          <w:szCs w:val="32"/>
        </w:rPr>
        <w:t>照相及录像设备等。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5.选手在收到开赛信号前不得启动操作；若结束比赛，应向裁判举手示意，</w:t>
      </w:r>
      <w:r>
        <w:rPr>
          <w:rFonts w:hint="eastAsia" w:ascii="仿宋_GB2312" w:eastAsia="仿宋_GB2312"/>
          <w:sz w:val="32"/>
          <w:szCs w:val="32"/>
        </w:rPr>
        <w:t>由裁判记录比赛结束时间；比赛结束后，不得再进行任何与比赛有关的操作。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6.在比赛中如遇非人为因素造成的器材故障，应及时向裁判反映，经裁判</w:t>
      </w:r>
      <w:r>
        <w:rPr>
          <w:rFonts w:hint="eastAsia" w:ascii="仿宋_GB2312" w:eastAsia="仿宋_GB2312"/>
          <w:sz w:val="32"/>
          <w:szCs w:val="32"/>
        </w:rPr>
        <w:t>确认后，可向裁判长申请补足排除故障的时间。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7.比赛结束后，应按要求向裁判提交</w:t>
      </w:r>
      <w:r>
        <w:rPr>
          <w:rFonts w:hint="eastAsia" w:ascii="仿宋_GB2312" w:eastAsia="仿宋_GB2312"/>
          <w:sz w:val="32"/>
          <w:szCs w:val="32"/>
        </w:rPr>
        <w:t>作业表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8.参赛选手应注意安全，必须穿安全鞋。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9.参赛选手经体温检测异常的，按比赛当地防疫要求的规定处理。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（四）工作人员须知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1.工作人员必须服从统一领导，严格遵守竞赛纪律及时间安排，严守工作</w:t>
      </w:r>
      <w:r>
        <w:rPr>
          <w:rFonts w:hint="eastAsia" w:ascii="仿宋_GB2312" w:eastAsia="仿宋_GB2312"/>
          <w:sz w:val="32"/>
          <w:szCs w:val="32"/>
        </w:rPr>
        <w:t>岗位，不得无故离岗。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2.工作人员必须着装整齐，统一佩戴由大赛组委会签发的相应证件，精神</w:t>
      </w:r>
      <w:r>
        <w:rPr>
          <w:rFonts w:hint="eastAsia" w:ascii="仿宋_GB2312" w:eastAsia="仿宋_GB2312"/>
          <w:sz w:val="32"/>
          <w:szCs w:val="32"/>
        </w:rPr>
        <w:t>饱满、热情服务。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3.熟悉赛项指南，严格按照工作程序和有关规定办事，遇突发事件，按照</w:t>
      </w:r>
      <w:r>
        <w:rPr>
          <w:rFonts w:hint="eastAsia" w:ascii="仿宋_GB2312" w:eastAsia="仿宋_GB2312"/>
          <w:sz w:val="32"/>
          <w:szCs w:val="32"/>
        </w:rPr>
        <w:t>安全工作预案，组织指挥人员疏散，确保人员安全。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4.工作人员未经允许不得随意进入比赛现场。</w:t>
      </w:r>
    </w:p>
    <w:p>
      <w:pPr>
        <w:overflowPunct w:val="0"/>
        <w:autoSpaceDE w:val="0"/>
        <w:ind w:firstLine="640" w:firstLineChars="200"/>
        <w:rPr>
          <w:rFonts w:ascii="黑体" w:hAnsi="黑体" w:eastAsia="黑体"/>
          <w:sz w:val="32"/>
          <w:szCs w:val="32"/>
        </w:rPr>
      </w:pPr>
      <w:bookmarkStart w:id="33" w:name="_Toc76562824"/>
      <w:r>
        <w:rPr>
          <w:rFonts w:hint="eastAsia" w:ascii="黑体" w:hAnsi="黑体" w:eastAsia="黑体"/>
          <w:sz w:val="32"/>
          <w:szCs w:val="32"/>
        </w:rPr>
        <w:t>十四、申诉与仲裁</w:t>
      </w:r>
      <w:bookmarkEnd w:id="33"/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本赛项在比赛过程中若出现有失公正或有关人员违规等现象，参赛队领队可在当日比赛结束后</w:t>
      </w:r>
      <w:r>
        <w:rPr>
          <w:rFonts w:ascii="仿宋_GB2312" w:eastAsia="仿宋_GB2312"/>
          <w:sz w:val="32"/>
          <w:szCs w:val="32"/>
        </w:rPr>
        <w:t>2小时内向监督仲裁组提出申诉。赛项监督仲裁组在接到</w:t>
      </w:r>
      <w:r>
        <w:rPr>
          <w:rFonts w:hint="eastAsia" w:ascii="仿宋_GB2312" w:eastAsia="仿宋_GB2312"/>
          <w:sz w:val="32"/>
          <w:szCs w:val="32"/>
        </w:rPr>
        <w:t>申诉后的</w:t>
      </w:r>
      <w:r>
        <w:rPr>
          <w:rFonts w:ascii="仿宋_GB2312" w:eastAsia="仿宋_GB2312"/>
          <w:sz w:val="32"/>
          <w:szCs w:val="32"/>
        </w:rPr>
        <w:t>2小时内组织复议，并及时反馈复议结果。</w:t>
      </w:r>
    </w:p>
    <w:p>
      <w:pPr>
        <w:overflowPunct w:val="0"/>
        <w:autoSpaceDE w:val="0"/>
        <w:ind w:firstLine="640" w:firstLineChars="200"/>
        <w:rPr>
          <w:rFonts w:ascii="黑体" w:hAnsi="黑体" w:eastAsia="黑体"/>
          <w:sz w:val="32"/>
          <w:szCs w:val="32"/>
        </w:rPr>
      </w:pPr>
      <w:bookmarkStart w:id="34" w:name="_Toc76562825"/>
      <w:r>
        <w:rPr>
          <w:rFonts w:hint="eastAsia" w:ascii="黑体" w:hAnsi="黑体" w:eastAsia="黑体"/>
          <w:sz w:val="32"/>
          <w:szCs w:val="32"/>
        </w:rPr>
        <w:t>十五、</w:t>
      </w:r>
      <w:bookmarkEnd w:id="34"/>
      <w:bookmarkStart w:id="35" w:name="_Toc76562826"/>
      <w:r>
        <w:rPr>
          <w:rFonts w:hint="eastAsia" w:ascii="黑体" w:hAnsi="黑体" w:eastAsia="黑体"/>
          <w:sz w:val="32"/>
          <w:szCs w:val="32"/>
        </w:rPr>
        <w:t>报名</w:t>
      </w:r>
      <w:bookmarkEnd w:id="35"/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各参赛单位根据赛项要求分别填写《山东省“技能兴鲁”职业技能大赛新能源商用车检测与维修技能竞赛报名表》（附件1），并于2022年8月30日前将盖章扫描件及word版本同时发送至指定邮箱。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1.潍柴新能源科技有限公司：负责组织相关行业、企业员工的报名。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联系人：王晓玲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  话：13853609391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  箱：wangxiaoling01@weichai.com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2.潍柴技师学院：负责组织省内各院校师生的报名。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联系人：包海涛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  话：13475678490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  箱：baoht@weichai.com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邮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箱：</w:t>
      </w:r>
      <w:r>
        <w:rPr>
          <w:rFonts w:hint="eastAsia" w:ascii="仿宋_GB2312" w:eastAsia="仿宋_GB2312"/>
          <w:sz w:val="32"/>
          <w:szCs w:val="32"/>
        </w:rPr>
        <w:t>ancz</w:t>
      </w:r>
      <w:r>
        <w:rPr>
          <w:rFonts w:ascii="仿宋_GB2312" w:eastAsia="仿宋_GB2312"/>
          <w:sz w:val="32"/>
          <w:szCs w:val="32"/>
        </w:rPr>
        <w:t>@weichai.com</w:t>
      </w:r>
    </w:p>
    <w:p>
      <w:pPr>
        <w:overflowPunct w:val="0"/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ascii="方正小标宋简体" w:eastAsia="方正小标宋简体"/>
          <w:bCs/>
          <w:kern w:val="0"/>
          <w:sz w:val="36"/>
          <w:szCs w:val="36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531" w:right="1474" w:bottom="1588" w:left="1474" w:header="851" w:footer="992" w:gutter="0"/>
          <w:cols w:space="720" w:num="1"/>
          <w:docGrid w:type="lines" w:linePitch="312" w:charSpace="0"/>
        </w:sectPr>
      </w:pPr>
      <w:r>
        <w:rPr>
          <w:rFonts w:ascii="宋体" w:hAnsi="宋体" w:eastAsia="宋体"/>
          <w:sz w:val="28"/>
          <w:szCs w:val="28"/>
        </w:rPr>
        <w:br w:type="page"/>
      </w:r>
    </w:p>
    <w:p>
      <w:pPr>
        <w:overflowPunct w:val="0"/>
        <w:autoSpaceDE w:val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pStyle w:val="12"/>
        <w:spacing w:line="580" w:lineRule="exact"/>
        <w:jc w:val="center"/>
        <w:rPr>
          <w:rFonts w:ascii="方正小标宋简体" w:hAnsi="方正楷体简体" w:eastAsia="方正小标宋简体" w:cs="仿宋_GB2312"/>
          <w:sz w:val="44"/>
          <w:szCs w:val="44"/>
        </w:rPr>
      </w:pPr>
      <w:r>
        <w:rPr>
          <w:rFonts w:hint="eastAsia" w:ascii="方正小标宋简体" w:hAnsi="方正楷体简体" w:eastAsia="方正小标宋简体" w:cs="仿宋_GB2312"/>
          <w:sz w:val="44"/>
          <w:szCs w:val="44"/>
        </w:rPr>
        <w:t>山东省“技能兴鲁”职业技能大赛</w:t>
      </w:r>
    </w:p>
    <w:p>
      <w:pPr>
        <w:pStyle w:val="12"/>
        <w:spacing w:line="580" w:lineRule="exact"/>
        <w:jc w:val="center"/>
        <w:rPr>
          <w:rFonts w:ascii="方正楷体简体" w:hAnsi="方正楷体简体" w:eastAsia="方正楷体简体" w:cs="仿宋_GB2312"/>
          <w:sz w:val="44"/>
          <w:szCs w:val="44"/>
        </w:rPr>
      </w:pPr>
      <w:r>
        <w:rPr>
          <w:rFonts w:hint="eastAsia" w:ascii="方正小标宋简体" w:hAnsi="方正楷体简体" w:eastAsia="方正小标宋简体" w:cs="仿宋_GB2312"/>
          <w:sz w:val="44"/>
          <w:szCs w:val="44"/>
        </w:rPr>
        <w:t>新能源商用车检测与维修技能竞赛报名表</w:t>
      </w:r>
    </w:p>
    <w:p>
      <w:pPr>
        <w:overflowPunct w:val="0"/>
        <w:autoSpaceDE w:val="0"/>
        <w:jc w:val="lef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参赛单位（盖章）：              领队：              联系电话：            微信号：</w:t>
      </w:r>
    </w:p>
    <w:tbl>
      <w:tblPr>
        <w:tblStyle w:val="6"/>
        <w:tblW w:w="13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219"/>
        <w:gridCol w:w="1712"/>
        <w:gridCol w:w="1276"/>
        <w:gridCol w:w="698"/>
        <w:gridCol w:w="2846"/>
        <w:gridCol w:w="1701"/>
        <w:gridCol w:w="1871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21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参赛组别</w:t>
            </w:r>
          </w:p>
        </w:tc>
        <w:tc>
          <w:tcPr>
            <w:tcW w:w="171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人员类别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69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284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8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微信号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职工组</w:t>
            </w:r>
          </w:p>
          <w:p>
            <w:pPr>
              <w:pStyle w:val="12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（教师）</w:t>
            </w:r>
          </w:p>
        </w:tc>
        <w:tc>
          <w:tcPr>
            <w:tcW w:w="171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指导教练1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4"/>
                <w:szCs w:val="24"/>
              </w:rPr>
              <w:t>与选手对应关系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指导教练2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4"/>
                <w:szCs w:val="24"/>
              </w:rPr>
              <w:t>与选手对应关系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选手1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选手2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选手3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学生组</w:t>
            </w:r>
          </w:p>
        </w:tc>
        <w:tc>
          <w:tcPr>
            <w:tcW w:w="171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指导教师1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4"/>
                <w:szCs w:val="24"/>
              </w:rPr>
              <w:t>与选手对应关系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指导教师2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4"/>
                <w:szCs w:val="24"/>
              </w:rPr>
              <w:t>与选手对应关系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选手1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选手2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选手3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9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推荐裁判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Cs w:val="28"/>
        </w:rPr>
      </w:pPr>
    </w:p>
    <w:sectPr>
      <w:footerReference r:id="rId6" w:type="default"/>
      <w:pgSz w:w="16838" w:h="11906" w:orient="landscape"/>
      <w:pgMar w:top="1474" w:right="1928" w:bottom="1474" w:left="1814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altName w:val="Times New Roman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302020204030204"/>
    <w:charset w:val="00"/>
    <w:family w:val="swiss"/>
    <w:pitch w:val="default"/>
    <w:sig w:usb0="E4000EFF" w:usb1="4000247B" w:usb2="00000001" w:usb3="00000000" w:csb0="200001B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等线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ngLiU">
    <w:altName w:val="等线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简体">
    <w:altName w:val="楷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86715915"/>
      <w:docPartObj>
        <w:docPartGallery w:val="autotext"/>
      </w:docPartObj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6130633"/>
      <w:docPartObj>
        <w:docPartGallery w:val="autotext"/>
      </w:docPartObj>
    </w:sdtPr>
    <w:sdtContent>
      <w:p>
        <w:pPr>
          <w:pStyle w:val="12"/>
          <w:jc w:val="center"/>
        </w:pPr>
        <w:r>
          <w:t>27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63265590"/>
      <w:docPartObj>
        <w:docPartGallery w:val="autotext"/>
      </w:docPartObj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w:pict>
        <v:shape id="PowerPlusWaterMarkObject6069054" o:spid="_x0000_s2062" o:spt="136" type="#_x0000_t136" style="position:absolute;left:0pt;margin-left:411.6pt;margin-top:517.1pt;height:25pt;width:288pt;mso-position-horizontal-relative:margin;mso-position-vertical-relative:margin;rotation:-2949120f;z-index:-251644928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wangyaoy 2022-08-1717:01:25" style="font-family:Sans Serif;font-size:25pt;v-same-letter-heights:f;v-text-align:center;"/>
        </v:shape>
      </w:pict>
    </w:r>
    <w:r>
      <w:rPr>
        <w:sz w:val="18"/>
      </w:rPr>
      <w:pict>
        <v:shape id="PowerPlusWaterMarkObject5589146" o:spid="_x0000_s2061" o:spt="136" type="#_x0000_t136" style="position:absolute;left:0pt;margin-left:147.85pt;margin-top:780.85pt;height:25pt;width:288pt;mso-position-horizontal-relative:margin;mso-position-vertical-relative:margin;rotation:-2949120f;z-index:-251645952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wangyaoy 2022-08-1717:01:25" style="font-family:Sans Serif;font-size:25pt;v-same-letter-heights:f;v-text-align:center;"/>
        </v:shape>
      </w:pict>
    </w:r>
    <w:r>
      <w:rPr>
        <w:sz w:val="18"/>
      </w:rPr>
      <w:pict>
        <v:shape id="PowerPlusWaterMarkObject5376382" o:spid="_x0000_s2060" o:spt="136" type="#_x0000_t136" style="position:absolute;left:0pt;margin-left:411.6pt;margin-top:311.8pt;height:25pt;width:288pt;mso-position-horizontal-relative:margin;mso-position-vertical-relative:margin;rotation:-2949120f;z-index:-251646976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wangyaoy 2022-08-1717:01:25" style="font-family:Sans Serif;font-size:25pt;v-same-letter-heights:f;v-text-align:center;"/>
        </v:shape>
      </w:pict>
    </w:r>
    <w:r>
      <w:rPr>
        <w:sz w:val="18"/>
      </w:rPr>
      <w:pict>
        <v:shape id="PowerPlusWaterMarkObject5210082" o:spid="_x0000_s2059" o:spt="136" type="#_x0000_t136" style="position:absolute;left:0pt;margin-left:147.85pt;margin-top:575.55pt;height:25pt;width:288pt;mso-position-horizontal-relative:margin;mso-position-vertical-relative:margin;rotation:-2949120f;z-index:-251648000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wangyaoy 2022-08-1717:01:25" style="font-family:Sans Serif;font-size:25pt;v-same-letter-heights:f;v-text-align:center;"/>
        </v:shape>
      </w:pict>
    </w:r>
    <w:r>
      <w:rPr>
        <w:sz w:val="18"/>
      </w:rPr>
      <w:pict>
        <v:shape id="PowerPlusWaterMarkObject4610549" o:spid="_x0000_s2058" o:spt="136" type="#_x0000_t136" style="position:absolute;left:0pt;margin-left:-115.9pt;margin-top:839.3pt;height:25pt;width:288pt;mso-position-horizontal-relative:margin;mso-position-vertical-relative:margin;rotation:-2949120f;z-index:-251649024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wangyaoy 2022-08-1717:01:25" style="font-family:Sans Serif;font-size:25pt;v-same-letter-heights:f;v-text-align:center;"/>
        </v:shape>
      </w:pict>
    </w:r>
    <w:r>
      <w:rPr>
        <w:sz w:val="18"/>
      </w:rPr>
      <w:pict>
        <v:shape id="PowerPlusWaterMarkObject4214189" o:spid="_x0000_s2057" o:spt="136" type="#_x0000_t136" style="position:absolute;left:0pt;margin-left:411.6pt;margin-top:106.5pt;height:25pt;width:288pt;mso-position-horizontal-relative:margin;mso-position-vertical-relative:margin;rotation:-2949120f;z-index:-251650048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wangyaoy 2022-08-1717:01:25" style="font-family:Sans Serif;font-size:25pt;v-same-letter-heights:f;v-text-align:center;"/>
        </v:shape>
      </w:pict>
    </w:r>
    <w:r>
      <w:rPr>
        <w:sz w:val="18"/>
      </w:rPr>
      <w:pict>
        <v:shape id="PowerPlusWaterMarkObject3740048" o:spid="_x0000_s2056" o:spt="136" type="#_x0000_t136" style="position:absolute;left:0pt;margin-left:147.85pt;margin-top:370.25pt;height:25pt;width:288pt;mso-position-horizontal-relative:margin;mso-position-vertical-relative:margin;rotation:-2949120f;z-index:-251651072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wangyaoy 2022-08-1717:01:25" style="font-family:Sans Serif;font-size:25pt;v-same-letter-heights:f;v-text-align:center;"/>
        </v:shape>
      </w:pict>
    </w:r>
    <w:r>
      <w:rPr>
        <w:sz w:val="18"/>
      </w:rPr>
      <w:pict>
        <v:shape id="PowerPlusWaterMarkObject2926965" o:spid="_x0000_s2055" o:spt="136" type="#_x0000_t136" style="position:absolute;left:0pt;margin-left:-115.9pt;margin-top:634pt;height:25pt;width:288pt;mso-position-horizontal-relative:margin;mso-position-vertical-relative:margin;rotation:-2949120f;z-index:-251652096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wangyaoy 2022-08-1717:01:25" style="font-family:Sans Serif;font-size:25pt;v-same-letter-heights:f;v-text-align:center;"/>
        </v:shape>
      </w:pict>
    </w:r>
    <w:r>
      <w:rPr>
        <w:sz w:val="18"/>
      </w:rPr>
      <w:pict>
        <v:shape id="PowerPlusWaterMarkObject2159191" o:spid="_x0000_s2054" o:spt="136" type="#_x0000_t136" style="position:absolute;left:0pt;margin-left:411.6pt;margin-top:-98.8pt;height:25pt;width:288pt;mso-position-horizontal-relative:margin;mso-position-vertical-relative:margin;rotation:-2949120f;z-index:-251653120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wangyaoy 2022-08-1717:01:25" style="font-family:Sans Serif;font-size:25pt;v-same-letter-heights:f;v-text-align:center;"/>
        </v:shape>
      </w:pict>
    </w:r>
    <w:r>
      <w:rPr>
        <w:sz w:val="18"/>
      </w:rPr>
      <w:pict>
        <v:shape id="PowerPlusWaterMarkObject1927980" o:spid="_x0000_s2053" o:spt="136" type="#_x0000_t136" style="position:absolute;left:0pt;margin-left:147.85pt;margin-top:164.95pt;height:25pt;width:288pt;mso-position-horizontal-relative:margin;mso-position-vertical-relative:margin;rotation:-2949120f;z-index:-251654144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wangyaoy 2022-08-1717:01:25" style="font-family:Sans Serif;font-size:25pt;v-same-letter-heights:f;v-text-align:center;"/>
        </v:shape>
      </w:pict>
    </w:r>
    <w:r>
      <w:rPr>
        <w:sz w:val="18"/>
      </w:rPr>
      <w:pict>
        <v:shape id="PowerPlusWaterMarkObject1018797" o:spid="_x0000_s2052" o:spt="136" type="#_x0000_t136" style="position:absolute;left:0pt;margin-left:-115.9pt;margin-top:428.7pt;height:25pt;width:288pt;mso-position-horizontal-relative:margin;mso-position-vertical-relative:margin;rotation:-2949120f;z-index:-251655168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wangyaoy 2022-08-1717:01:25" style="font-family:Sans Serif;font-size:25pt;v-same-letter-heights:f;v-text-align:center;"/>
        </v:shape>
      </w:pict>
    </w:r>
    <w:r>
      <w:rPr>
        <w:sz w:val="18"/>
      </w:rPr>
      <w:pict>
        <v:shape id="PowerPlusWaterMarkObject696979" o:spid="_x0000_s2051" o:spt="136" type="#_x0000_t136" style="position:absolute;left:0pt;margin-left:147.85pt;margin-top:-40.4pt;height:25pt;width:288pt;mso-position-horizontal-relative:margin;mso-position-vertical-relative:margin;rotation:-2949120f;z-index:-251656192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wangyaoy 2022-08-1717:01:25" style="font-family:Sans Serif;font-size:25pt;v-same-letter-heights:f;v-text-align:center;"/>
        </v:shape>
      </w:pict>
    </w:r>
    <w:r>
      <w:rPr>
        <w:sz w:val="18"/>
      </w:rPr>
      <w:pict>
        <v:shape id="PowerPlusWaterMarkObject646855" o:spid="_x0000_s2050" o:spt="136" type="#_x0000_t136" style="position:absolute;left:0pt;margin-left:-115.9pt;margin-top:223.35pt;height:25pt;width:288pt;mso-position-horizontal-relative:margin;mso-position-vertical-relative:margin;rotation:-2949120f;z-index:-251657216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wangyaoy 2022-08-1717:01:25" style="font-family:Sans Serif;font-size:25pt;v-same-letter-heights:f;v-text-align:center;"/>
        </v:shape>
      </w:pict>
    </w:r>
    <w:r>
      <w:rPr>
        <w:sz w:val="18"/>
      </w:rPr>
      <w:pict>
        <v:shape id="PowerPlusWaterMarkObject516378" o:spid="_x0000_s2049" o:spt="136" type="#_x0000_t136" style="position:absolute;left:0pt;margin-left:-115.9pt;margin-top:18.05pt;height:25pt;width:288pt;mso-position-horizontal-relative:margin;mso-position-vertical-relative:margin;rotation:-2949120f;z-index:-251658240;mso-width-relative:page;mso-height-relative:page;" fillcolor="#DEDEDE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wangyaoy 2022-08-1717:01:25" style="font-family:Sans Serif;font-size:25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D02ED"/>
    <w:multiLevelType w:val="multilevel"/>
    <w:tmpl w:val="31ED02ED"/>
    <w:lvl w:ilvl="0" w:tentative="0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7D"/>
    <w:rsid w:val="00013099"/>
    <w:rsid w:val="00016425"/>
    <w:rsid w:val="000373F4"/>
    <w:rsid w:val="00063A9C"/>
    <w:rsid w:val="00095DF2"/>
    <w:rsid w:val="000C228B"/>
    <w:rsid w:val="00114BB3"/>
    <w:rsid w:val="00123EBB"/>
    <w:rsid w:val="00125254"/>
    <w:rsid w:val="00125FA2"/>
    <w:rsid w:val="00136FB1"/>
    <w:rsid w:val="0013719C"/>
    <w:rsid w:val="00140DAF"/>
    <w:rsid w:val="00155544"/>
    <w:rsid w:val="0016502B"/>
    <w:rsid w:val="00183809"/>
    <w:rsid w:val="00191DB3"/>
    <w:rsid w:val="001A042F"/>
    <w:rsid w:val="001B675F"/>
    <w:rsid w:val="002118C1"/>
    <w:rsid w:val="00242928"/>
    <w:rsid w:val="00252567"/>
    <w:rsid w:val="00260952"/>
    <w:rsid w:val="00280A11"/>
    <w:rsid w:val="002821CD"/>
    <w:rsid w:val="00294E72"/>
    <w:rsid w:val="002C52B6"/>
    <w:rsid w:val="002C69E4"/>
    <w:rsid w:val="002D48DE"/>
    <w:rsid w:val="002F127D"/>
    <w:rsid w:val="002F638D"/>
    <w:rsid w:val="003025CC"/>
    <w:rsid w:val="003338CB"/>
    <w:rsid w:val="003542E6"/>
    <w:rsid w:val="0037279B"/>
    <w:rsid w:val="00381AC0"/>
    <w:rsid w:val="003A0B5D"/>
    <w:rsid w:val="003B6202"/>
    <w:rsid w:val="003C0CEC"/>
    <w:rsid w:val="003D339D"/>
    <w:rsid w:val="003E284C"/>
    <w:rsid w:val="003E2BA9"/>
    <w:rsid w:val="00401153"/>
    <w:rsid w:val="00420C31"/>
    <w:rsid w:val="00432835"/>
    <w:rsid w:val="00440283"/>
    <w:rsid w:val="00440567"/>
    <w:rsid w:val="00440B57"/>
    <w:rsid w:val="00460948"/>
    <w:rsid w:val="00483C3D"/>
    <w:rsid w:val="00487126"/>
    <w:rsid w:val="004A0889"/>
    <w:rsid w:val="004A5009"/>
    <w:rsid w:val="004B3DB2"/>
    <w:rsid w:val="004C7A51"/>
    <w:rsid w:val="004D7381"/>
    <w:rsid w:val="004F683B"/>
    <w:rsid w:val="0050799B"/>
    <w:rsid w:val="00534FE5"/>
    <w:rsid w:val="00535778"/>
    <w:rsid w:val="00543B16"/>
    <w:rsid w:val="0057269A"/>
    <w:rsid w:val="00573274"/>
    <w:rsid w:val="005A0D2D"/>
    <w:rsid w:val="005A7DCD"/>
    <w:rsid w:val="005E1A91"/>
    <w:rsid w:val="005F11BD"/>
    <w:rsid w:val="0060547F"/>
    <w:rsid w:val="00641E57"/>
    <w:rsid w:val="00693764"/>
    <w:rsid w:val="006B771C"/>
    <w:rsid w:val="006D376C"/>
    <w:rsid w:val="006E21D3"/>
    <w:rsid w:val="006F1663"/>
    <w:rsid w:val="00704976"/>
    <w:rsid w:val="00714C29"/>
    <w:rsid w:val="00727EA4"/>
    <w:rsid w:val="00734D7C"/>
    <w:rsid w:val="00736DBA"/>
    <w:rsid w:val="00761EF0"/>
    <w:rsid w:val="007668FD"/>
    <w:rsid w:val="007750B7"/>
    <w:rsid w:val="007945EA"/>
    <w:rsid w:val="007A657F"/>
    <w:rsid w:val="007D65CA"/>
    <w:rsid w:val="00801E8D"/>
    <w:rsid w:val="00802643"/>
    <w:rsid w:val="00814AEF"/>
    <w:rsid w:val="00814E1D"/>
    <w:rsid w:val="00814F1F"/>
    <w:rsid w:val="00815785"/>
    <w:rsid w:val="00822B3E"/>
    <w:rsid w:val="008256DC"/>
    <w:rsid w:val="00830458"/>
    <w:rsid w:val="008345E4"/>
    <w:rsid w:val="00847324"/>
    <w:rsid w:val="00851E67"/>
    <w:rsid w:val="00852E98"/>
    <w:rsid w:val="008A338C"/>
    <w:rsid w:val="008A3BC9"/>
    <w:rsid w:val="008D2B2B"/>
    <w:rsid w:val="00924B0A"/>
    <w:rsid w:val="009335F8"/>
    <w:rsid w:val="00967785"/>
    <w:rsid w:val="009729FA"/>
    <w:rsid w:val="00975ACB"/>
    <w:rsid w:val="00996373"/>
    <w:rsid w:val="009A0C28"/>
    <w:rsid w:val="009A6438"/>
    <w:rsid w:val="009A7809"/>
    <w:rsid w:val="009D31A9"/>
    <w:rsid w:val="009D7744"/>
    <w:rsid w:val="00A150DB"/>
    <w:rsid w:val="00A40D2D"/>
    <w:rsid w:val="00A426B7"/>
    <w:rsid w:val="00AA3FDF"/>
    <w:rsid w:val="00AA5E1F"/>
    <w:rsid w:val="00AF74AF"/>
    <w:rsid w:val="00B0219C"/>
    <w:rsid w:val="00B07158"/>
    <w:rsid w:val="00B079E9"/>
    <w:rsid w:val="00B10CD6"/>
    <w:rsid w:val="00B253EB"/>
    <w:rsid w:val="00B30A0C"/>
    <w:rsid w:val="00B349EA"/>
    <w:rsid w:val="00B40F11"/>
    <w:rsid w:val="00B43D0D"/>
    <w:rsid w:val="00B5514F"/>
    <w:rsid w:val="00B80399"/>
    <w:rsid w:val="00B8614D"/>
    <w:rsid w:val="00BA05F0"/>
    <w:rsid w:val="00BA1827"/>
    <w:rsid w:val="00BB5981"/>
    <w:rsid w:val="00BC76F6"/>
    <w:rsid w:val="00BE0D92"/>
    <w:rsid w:val="00C11805"/>
    <w:rsid w:val="00C2060F"/>
    <w:rsid w:val="00C26F96"/>
    <w:rsid w:val="00C33BFF"/>
    <w:rsid w:val="00C344F0"/>
    <w:rsid w:val="00C416F7"/>
    <w:rsid w:val="00C51F95"/>
    <w:rsid w:val="00C56FF9"/>
    <w:rsid w:val="00CB08DC"/>
    <w:rsid w:val="00CF5CEE"/>
    <w:rsid w:val="00D145A6"/>
    <w:rsid w:val="00D47E0B"/>
    <w:rsid w:val="00D7252C"/>
    <w:rsid w:val="00D96935"/>
    <w:rsid w:val="00DE07A6"/>
    <w:rsid w:val="00DE42B6"/>
    <w:rsid w:val="00DE6F6B"/>
    <w:rsid w:val="00DF0A17"/>
    <w:rsid w:val="00E138D2"/>
    <w:rsid w:val="00E22F65"/>
    <w:rsid w:val="00E23EFE"/>
    <w:rsid w:val="00E303CF"/>
    <w:rsid w:val="00E510AB"/>
    <w:rsid w:val="00E53CF5"/>
    <w:rsid w:val="00E83791"/>
    <w:rsid w:val="00E9141A"/>
    <w:rsid w:val="00EA0077"/>
    <w:rsid w:val="00EB222E"/>
    <w:rsid w:val="00EB7C00"/>
    <w:rsid w:val="00EC432F"/>
    <w:rsid w:val="00F2066E"/>
    <w:rsid w:val="00F4341C"/>
    <w:rsid w:val="00F456BC"/>
    <w:rsid w:val="00FA4649"/>
    <w:rsid w:val="00FC0AB2"/>
    <w:rsid w:val="00FD3585"/>
    <w:rsid w:val="00FD541C"/>
    <w:rsid w:val="00FE567A"/>
    <w:rsid w:val="27E748E5"/>
    <w:rsid w:val="2F883793"/>
    <w:rsid w:val="709B1BEF"/>
    <w:rsid w:val="731936EA"/>
    <w:rsid w:val="7B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宋体" w:asciiTheme="majorHAnsi" w:hAnsiTheme="majorHAnsi" w:cstheme="majorBidi"/>
      <w:b/>
      <w:bCs/>
      <w:sz w:val="30"/>
      <w:szCs w:val="32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6"/>
    <w:uiPriority w:val="0"/>
    <w:rPr>
      <w:sz w:val="18"/>
      <w:szCs w:val="18"/>
    </w:rPr>
  </w:style>
  <w:style w:type="character" w:styleId="8">
    <w:name w:val="annotation reference"/>
    <w:basedOn w:val="5"/>
    <w:semiHidden/>
    <w:unhideWhenUsed/>
    <w:uiPriority w:val="99"/>
    <w:rPr>
      <w:sz w:val="21"/>
      <w:szCs w:val="21"/>
    </w:rPr>
  </w:style>
  <w:style w:type="paragraph" w:styleId="9">
    <w:name w:val="annotation text"/>
    <w:basedOn w:val="1"/>
    <w:link w:val="37"/>
    <w:semiHidden/>
    <w:unhideWhenUsed/>
    <w:uiPriority w:val="99"/>
    <w:pPr>
      <w:jc w:val="left"/>
    </w:pPr>
  </w:style>
  <w:style w:type="paragraph" w:styleId="10">
    <w:name w:val="annotation subject"/>
    <w:basedOn w:val="9"/>
    <w:next w:val="9"/>
    <w:link w:val="38"/>
    <w:semiHidden/>
    <w:unhideWhenUsed/>
    <w:uiPriority w:val="99"/>
    <w:rPr>
      <w:b/>
      <w:bCs/>
    </w:rPr>
  </w:style>
  <w:style w:type="paragraph" w:styleId="11">
    <w:name w:val="Date"/>
    <w:basedOn w:val="1"/>
    <w:next w:val="1"/>
    <w:link w:val="21"/>
    <w:unhideWhenUsed/>
    <w:qFormat/>
    <w:uiPriority w:val="0"/>
    <w:pPr>
      <w:ind w:left="100" w:leftChars="2500"/>
    </w:pPr>
  </w:style>
  <w:style w:type="paragraph" w:styleId="12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4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5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6">
    <w:name w:val="toc 1"/>
    <w:basedOn w:val="1"/>
    <w:next w:val="1"/>
    <w:unhideWhenUsed/>
    <w:qFormat/>
    <w:uiPriority w:val="39"/>
  </w:style>
  <w:style w:type="paragraph" w:styleId="17">
    <w:name w:val="toc 2"/>
    <w:basedOn w:val="1"/>
    <w:next w:val="1"/>
    <w:unhideWhenUsed/>
    <w:uiPriority w:val="39"/>
    <w:pPr>
      <w:ind w:left="420" w:leftChars="200"/>
    </w:pPr>
  </w:style>
  <w:style w:type="paragraph" w:styleId="18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customStyle="1" w:styleId="19">
    <w:name w:val="页眉 Char"/>
    <w:basedOn w:val="5"/>
    <w:link w:val="13"/>
    <w:uiPriority w:val="0"/>
    <w:rPr>
      <w:sz w:val="18"/>
      <w:szCs w:val="18"/>
    </w:rPr>
  </w:style>
  <w:style w:type="character" w:customStyle="1" w:styleId="20">
    <w:name w:val="页脚 Char"/>
    <w:basedOn w:val="5"/>
    <w:link w:val="12"/>
    <w:qFormat/>
    <w:uiPriority w:val="99"/>
    <w:rPr>
      <w:sz w:val="18"/>
      <w:szCs w:val="18"/>
    </w:rPr>
  </w:style>
  <w:style w:type="character" w:customStyle="1" w:styleId="21">
    <w:name w:val="日期 Char"/>
    <w:basedOn w:val="5"/>
    <w:link w:val="11"/>
    <w:uiPriority w:val="0"/>
    <w:rPr>
      <w:szCs w:val="2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标题 2 Char"/>
    <w:basedOn w:val="5"/>
    <w:link w:val="3"/>
    <w:uiPriority w:val="9"/>
    <w:rPr>
      <w:rFonts w:eastAsia="宋体" w:asciiTheme="majorHAnsi" w:hAnsiTheme="majorHAnsi" w:cstheme="majorBidi"/>
      <w:b/>
      <w:bCs/>
      <w:sz w:val="30"/>
      <w:szCs w:val="32"/>
    </w:rPr>
  </w:style>
  <w:style w:type="character" w:customStyle="1" w:styleId="24">
    <w:name w:val="标题 1 Char"/>
    <w:basedOn w:val="5"/>
    <w:link w:val="2"/>
    <w:uiPriority w:val="0"/>
    <w:rPr>
      <w:b/>
      <w:kern w:val="44"/>
      <w:sz w:val="44"/>
      <w:szCs w:val="24"/>
    </w:rPr>
  </w:style>
  <w:style w:type="character" w:customStyle="1" w:styleId="25">
    <w:name w:val="标题 3 Char"/>
    <w:basedOn w:val="5"/>
    <w:link w:val="4"/>
    <w:semiHidden/>
    <w:uiPriority w:val="9"/>
    <w:rPr>
      <w:b/>
      <w:bCs/>
      <w:sz w:val="32"/>
      <w:szCs w:val="32"/>
    </w:rPr>
  </w:style>
  <w:style w:type="character" w:customStyle="1" w:styleId="26">
    <w:name w:val="批注框文本 Char"/>
    <w:basedOn w:val="5"/>
    <w:link w:val="7"/>
    <w:uiPriority w:val="0"/>
    <w:rPr>
      <w:sz w:val="18"/>
      <w:szCs w:val="18"/>
    </w:rPr>
  </w:style>
  <w:style w:type="paragraph" w:customStyle="1" w:styleId="27">
    <w:name w:val="Body text|5"/>
    <w:basedOn w:val="1"/>
    <w:link w:val="29"/>
    <w:qFormat/>
    <w:uiPriority w:val="0"/>
    <w:pPr>
      <w:shd w:val="clear" w:color="auto" w:fill="FFFFFF"/>
      <w:spacing w:before="300" w:after="120" w:line="445" w:lineRule="exact"/>
      <w:ind w:firstLine="360"/>
      <w:jc w:val="distribute"/>
    </w:pPr>
    <w:rPr>
      <w:rFonts w:ascii="PMingLiU" w:hAnsi="PMingLiU" w:eastAsia="PMingLiU" w:cs="PMingLiU"/>
      <w:sz w:val="26"/>
      <w:szCs w:val="26"/>
    </w:rPr>
  </w:style>
  <w:style w:type="character" w:customStyle="1" w:styleId="28">
    <w:name w:val="Body text|5 + Times New Roman"/>
    <w:basedOn w:val="29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zh-CN" w:eastAsia="zh-CN" w:bidi="zh-CN"/>
    </w:rPr>
  </w:style>
  <w:style w:type="character" w:customStyle="1" w:styleId="29">
    <w:name w:val="Body text|5_"/>
    <w:basedOn w:val="5"/>
    <w:link w:val="27"/>
    <w:qFormat/>
    <w:uiPriority w:val="0"/>
    <w:rPr>
      <w:rFonts w:ascii="PMingLiU" w:hAnsi="PMingLiU" w:eastAsia="PMingLiU" w:cs="PMingLiU"/>
      <w:sz w:val="26"/>
      <w:szCs w:val="26"/>
      <w:shd w:val="clear" w:color="auto" w:fill="FFFFFF"/>
    </w:rPr>
  </w:style>
  <w:style w:type="paragraph" w:customStyle="1" w:styleId="30">
    <w:name w:val="列出段落1"/>
    <w:basedOn w:val="1"/>
    <w:qFormat/>
    <w:uiPriority w:val="34"/>
    <w:pPr>
      <w:ind w:left="720"/>
      <w:contextualSpacing/>
    </w:pPr>
    <w:rPr>
      <w:rFonts w:ascii="Times New Roman" w:hAnsi="Times New Roman"/>
    </w:rPr>
  </w:style>
  <w:style w:type="paragraph" w:customStyle="1" w:styleId="31">
    <w:name w:val="正文文本 (2)"/>
    <w:basedOn w:val="1"/>
    <w:qFormat/>
    <w:uiPriority w:val="0"/>
    <w:pPr>
      <w:shd w:val="clear" w:color="auto" w:fill="FFFFFF"/>
      <w:spacing w:before="480" w:line="518" w:lineRule="exact"/>
      <w:ind w:hanging="1060"/>
      <w:jc w:val="left"/>
    </w:pPr>
    <w:rPr>
      <w:rFonts w:ascii="MingLiU" w:hAnsi="MingLiU" w:eastAsia="MingLiU" w:cs="MingLiU"/>
      <w:spacing w:val="30"/>
      <w:sz w:val="30"/>
      <w:szCs w:val="30"/>
    </w:rPr>
  </w:style>
  <w:style w:type="paragraph" w:customStyle="1" w:styleId="32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2F5597" w:themeColor="accent1" w:themeShade="BF"/>
      <w:kern w:val="0"/>
      <w:sz w:val="28"/>
      <w:szCs w:val="28"/>
    </w:rPr>
  </w:style>
  <w:style w:type="character" w:customStyle="1" w:styleId="33">
    <w:name w:val="未处理的提及1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34">
    <w:name w:val="未处理的提及2"/>
    <w:basedOn w:val="5"/>
    <w:semiHidden/>
    <w:unhideWhenUsed/>
    <w:uiPriority w:val="99"/>
    <w:rPr>
      <w:color w:val="605E5C"/>
      <w:shd w:val="clear" w:color="auto" w:fill="E1DFDD"/>
    </w:rPr>
  </w:style>
  <w:style w:type="paragraph" w:customStyle="1" w:styleId="35">
    <w:name w:val="插图样式"/>
    <w:basedOn w:val="1"/>
    <w:link w:val="36"/>
    <w:qFormat/>
    <w:uiPriority w:val="0"/>
    <w:pPr>
      <w:jc w:val="center"/>
    </w:pPr>
    <w:rPr>
      <w:rFonts w:ascii="宋体" w:hAnsi="宋体"/>
    </w:rPr>
  </w:style>
  <w:style w:type="character" w:customStyle="1" w:styleId="36">
    <w:name w:val="插图样式 Char"/>
    <w:basedOn w:val="5"/>
    <w:link w:val="35"/>
    <w:uiPriority w:val="0"/>
    <w:rPr>
      <w:rFonts w:ascii="宋体" w:hAnsi="宋体"/>
    </w:rPr>
  </w:style>
  <w:style w:type="character" w:customStyle="1" w:styleId="37">
    <w:name w:val="批注文字 Char"/>
    <w:basedOn w:val="5"/>
    <w:link w:val="9"/>
    <w:semiHidden/>
    <w:uiPriority w:val="99"/>
    <w:rPr>
      <w:szCs w:val="24"/>
    </w:rPr>
  </w:style>
  <w:style w:type="character" w:customStyle="1" w:styleId="38">
    <w:name w:val="批注主题 Char"/>
    <w:basedOn w:val="37"/>
    <w:link w:val="10"/>
    <w:semiHidden/>
    <w:qFormat/>
    <w:uiPriority w:val="99"/>
    <w:rPr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1726</Words>
  <Characters>9842</Characters>
  <Lines>82</Lines>
  <Paragraphs>23</Paragraphs>
  <TotalTime>123</TotalTime>
  <ScaleCrop>false</ScaleCrop>
  <LinksUpToDate>false</LinksUpToDate>
  <CharactersWithSpaces>11545</CharactersWithSpaces>
  <Application>WPS Office_11.8.2.10299_F1E327BC-269C-435d-A152-05C5408002CA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2022-08-13T10:13:00Z</dcterms:created>
  <dc:creator>dong chuanhui</dc:creator>
  <cp:lastModifiedBy>root</cp:lastModifiedBy>
  <dcterms:modified xsi:type="dcterms:W3CDTF">2022-08-17T09:01:26Z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1033-11.8.2.10299</vt:lpwstr>
  </property>
</Properties>
</file>